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both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附件：</w:t>
      </w:r>
      <w:bookmarkStart w:id="1" w:name="_GoBack"/>
      <w:bookmarkEnd w:id="1"/>
    </w:p>
    <w:p>
      <w:pPr>
        <w:pStyle w:val="4"/>
        <w:rPr>
          <w:rFonts w:ascii="Times New Roman" w:hAnsi="Times New Roman" w:eastAsia="仿宋"/>
          <w:sz w:val="36"/>
          <w:szCs w:val="36"/>
        </w:rPr>
      </w:pPr>
      <w:r>
        <w:rPr>
          <w:rFonts w:ascii="Times New Roman" w:hAnsi="Times New Roman" w:eastAsia="仿宋"/>
          <w:sz w:val="36"/>
          <w:szCs w:val="36"/>
        </w:rPr>
        <w:t>江西省新余市渝水区良山23.1MW风电项目技术尽职调查服务内容</w:t>
      </w:r>
    </w:p>
    <w:tbl>
      <w:tblPr>
        <w:tblStyle w:val="5"/>
        <w:tblpPr w:leftFromText="180" w:rightFromText="180" w:vertAnchor="text" w:tblpY="1"/>
        <w:tblOverlap w:val="never"/>
        <w:tblW w:w="834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579"/>
        <w:gridCol w:w="1134"/>
        <w:gridCol w:w="3442"/>
        <w:gridCol w:w="1261"/>
        <w:gridCol w:w="841"/>
        <w:gridCol w:w="64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bookmarkStart w:id="0" w:name="_Hlk7938596"/>
            <w:r>
              <w:rPr>
                <w:rFonts w:eastAsia="仿宋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检测内容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检测范围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价格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4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电站文件评估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项目文件和合同审核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项目备案相关手续文件及批复、用地许可、土地租赁协议、环评、电气设备资料（设备技术协议、型式试验报告）、并网协议、购售电合同、认证证书、检测报告、使用维护手册、设备安装记录、施工过程资料、监理资料、竣工验收资料等，运维制度、运维记录、上网电量统计数据及合同等进行审核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项目设计文件评估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检查项目设计文件（可研报告、接入系统报告、地勘报告、图纸）是否符合相关标准要求，对电站选址、基础设计、电气及接入系统、土建工程、消防工程等设计一致性审核及评价。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施工建设质量及设备质量评估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通过对电站现场，土建、结构及电气的施工建设质量情况进行检查，了解其是否达到设计要求。检查设备一致性、电气设备质量及故障情况，评估设备稳定性及可靠性。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合价（含税）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</w:trPr>
        <w:tc>
          <w:tcPr>
            <w:tcW w:w="4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color w:val="000000"/>
                <w:sz w:val="18"/>
                <w:szCs w:val="18"/>
              </w:rPr>
              <w:t>电站质量评估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color w:val="000000"/>
                <w:sz w:val="18"/>
                <w:szCs w:val="18"/>
              </w:rPr>
              <w:t>实际安装功率核查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color w:val="000000"/>
                <w:sz w:val="18"/>
                <w:szCs w:val="18"/>
              </w:rPr>
              <w:t>核准风力发电机组总功率，精确到瓦。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塔筒和叶片安装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检验塔筒和叶片是否满足设计抗风要求；塔筒叶片防腐措施是否满足规范和设计要求。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风机高强度螺栓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高强螺栓10%、UT检测等。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风机基础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检验风机基础的外观及强度（裂纹、沉降、蜂窝麻面等），水泥标号、防腐等级、防腐措施、基础入土深度、冻土深度、持力层等信息是否满足规范和设计要求，混凝土强度检测（回弹）。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风电场界址及机位点坐标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检验风电场界址和机位坐标点一致性是否满足规范和设计要求。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电缆质量及铺设质量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确定电缆选取满足规范和设计要求；确定交、直流电缆铺设方式：穿管、捆扎、埋地等，并测定电缆铺设方式、埋深等是否满足规范和设计要求。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  <w:u w:val="single"/>
              </w:rPr>
              <w:t xml:space="preserve"> 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变流器、箱变的类型、安装位置和安装质量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检查变流器、箱变的类型、电气参数、安装位置和安装质量，安装布局是否合理且散热良好。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变流器不少于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个，箱变不少于</w:t>
            </w:r>
            <w:r>
              <w:rPr>
                <w:rFonts w:eastAsia="仿宋"/>
                <w:sz w:val="18"/>
                <w:szCs w:val="18"/>
                <w:u w:val="single"/>
              </w:rPr>
              <w:t xml:space="preserve"> 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台。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环境评估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测定环境对风力发电站是否有影响。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标识检查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1、所有风机背后应有性能标签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2、所有设备的直流正负极应能够明显区分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 交流主隔离开关要有明显的标识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4、 双路电源供电的系统，应在两电源点的交汇处粘贴警告标签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5、 应在设备柜门内侧粘贴系统单线图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6、 应在变流器室合适的位置粘贴变流器保护的设定细节的标签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7、 应在合适位置粘贴紧急关机程序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8、 所有的标志和标签都必须以适当的形式持久粘贴在设备上。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台另加升压站。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44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合价（含税）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44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电站设备检测及运行测试评估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风机振动检测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采用振动检测设备，完成传动链振动检测，判断是否满足标准要求。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风机齿轮箱内窥镜检査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采用内窥镜检测设备，完成齿轮箱内部检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测，如断齿、点蚀、碎屑等情况发生。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齿轮箱油液检查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不限于色谱分析、击穿电压等实验室送检。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风机叶片检测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叶片外部检查；叶片内部结构检查。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主变压器油样检测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不限于色谱分析、击穿电压等。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"/>
              </w:rPr>
            </w:pPr>
            <w:r>
              <w:rPr>
                <w:rFonts w:eastAsia="仿宋"/>
                <w:sz w:val="18"/>
                <w:szCs w:val="18"/>
              </w:rPr>
              <w:t xml:space="preserve">不少于 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箱变油样检测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不限于色谱分析、击穿电压等。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防雷接地检测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升压站、风机防雷接地是否满足有关要求。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塔筒垂直度检测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垂直度、水平度是否满足规范及设计要求。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安全功能检测与评估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安全链级别的停机保护功能现场测试，检查控制和安全链功能是否可以正常动作。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包含：振动安全链、急停按钮功能、机组所有停机方式（如正常停机、快速停机、紧急停机等）试验、单个气动刹车失效、自动运行试验、机组启动、电网故障或脱载、偏航系统激活、扭缆保护激活、转速调节，桨距调节及功率调节试验、手动模式测试（根据现场实际情况进行可检条件下进行适用性功能检测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变流器接地连续性检测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判定条件：接触电阻不高于 100mΩ ，且保证其接地电阻不高于 4Ω。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分系统部件检查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包含不限于风力发电机的的塔筒、电气控制系统、偏航系统、变桨系统、轮毂、主轴、齿轮箱、联轴器、制动器、发电机、液压系统等系统的检查及评估（发电机包括但不限于发电机绝缘、直流电阻，发电机与齿轮箱的同心度等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  <w:lang w:val="en-US" w:eastAsia="zh-CN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风机可利用率评估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根据SCADA系统记录的机组发电、故障、维护时间及功率因素，对机组工作状态进行分析。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招投标合同评价（可利用率与功率曲线）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1、从合同角度，评价可利用率条款的完整性、合理性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2、从合同角度，评价功率曲线条款要求的数据来源、考核方式、考核指标以及合理性。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SCADA振动数据分析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根据现场机组的SCADA振动数据，分折是否存在异常。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风资源评估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1、测风仪器评价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2、风资源勘测完成性、规范性及数据质量评价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3、独立计算分析并与被收购方结果比较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  <w:r>
              <w:rPr>
                <w:rFonts w:eastAsia="仿宋"/>
                <w:sz w:val="18"/>
                <w:szCs w:val="18"/>
              </w:rPr>
              <w:t>4、厂址内个机位点环境条件独立计算分析并和厂商结果进行比较。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整场机组适应性评估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核查认证证书中设计等级参数，基于风资源独立计算分析获得现场各机位环境条件，将设计参数与现场机位环境条件参数进行比对，判断前者是否能漫盖后者，评估机组在特定场址环境条件下的安全性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发电量评估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1、系统性评估各项折减系数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2、基于风资源与功率曲线，折减系数，独立计算分析发电量，并与被收购方结果比对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3、分析发电量差异原因，并量化不同影响因素对其的贡献。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电网分析评价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网消纳分析，风电项目限电率分析，评估场站保护配置是否满足地方电网的要求。评估电站动力环境监测系统配置是否满足地方电网要求，评估一次调频系统配置是否满足地方电网要求，评估二次系统安全防护、网络安全监测配置的合理性，评估涉网系统隐患与缺陷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运行管理评价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1、场站运行方式调查。调查场站现行的运维人员组成情况及运维方式，运维成本构成等。包括运维费用使用情况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运维管理制度、运维过程资料、定期巡检记录、维护记录、定期试验记录等调查，包括机组台账记录、备件更换记录、工作票记录、缺陷记录、检修记录、大修记录等检查。重点调查项目的典型问题、共性问题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3、备品备件更换记录和大部件更换记录审核，零部件质量缺陷或设计缺陷分析。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合价（含税）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eastAsia="仿宋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总价（含税）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eastAsia="仿宋"/>
              </w:rPr>
            </w:pPr>
          </w:p>
        </w:tc>
      </w:tr>
      <w:bookmarkEnd w:id="0"/>
    </w:tbl>
    <w:p>
      <w:pPr>
        <w:spacing w:line="560" w:lineRule="exact"/>
        <w:ind w:right="900"/>
        <w:rPr>
          <w:rFonts w:eastAsia="仿宋"/>
          <w:sz w:val="30"/>
          <w:szCs w:val="30"/>
        </w:rPr>
      </w:pP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0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iNmU0NjRlMDQ2ZjU3NGYyZWJlYTQwOTE5NWE2YWUifQ=="/>
  </w:docVars>
  <w:rsids>
    <w:rsidRoot w:val="331E105E"/>
    <w:rsid w:val="331E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600" w:lineRule="exact"/>
      <w:jc w:val="center"/>
      <w:outlineLvl w:val="0"/>
    </w:pPr>
    <w:rPr>
      <w:b/>
      <w:bCs/>
      <w:kern w:val="44"/>
      <w:sz w:val="36"/>
      <w:szCs w:val="36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560" w:lineRule="exact"/>
      <w:ind w:firstLine="420" w:firstLineChars="200"/>
    </w:pPr>
    <w:rPr>
      <w:rFonts w:eastAsia="仿宋_GB2312"/>
      <w:sz w:val="32"/>
      <w:szCs w:val="22"/>
    </w:r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2022-07-29T06:27:00Z</dcterms:created>
  <dc:creator>是吃货啦啦啦</dc:creator>
  <cp:lastModifiedBy>是吃货啦啦啦</cp:lastModifiedBy>
  <dcterms:modified xsi:type="dcterms:W3CDTF">2022-07-29T06:27:57Z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3E0D4A097412427799215D55336500F9</vt:lpwstr>
  </property>
</Properties>
</file>