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olor w:val="auto"/>
          <w:sz w:val="36"/>
          <w:highlight w:val="none"/>
        </w:rPr>
      </w:pPr>
    </w:p>
    <w:p>
      <w:pPr>
        <w:widowControl/>
        <w:tabs>
          <w:tab w:val="left" w:pos="3828"/>
        </w:tabs>
        <w:autoSpaceDE w:val="0"/>
        <w:autoSpaceDN w:val="0"/>
        <w:spacing w:line="440" w:lineRule="atLeast"/>
        <w:ind w:left="-215" w:right="-414"/>
        <w:jc w:val="center"/>
        <w:textAlignment w:val="bottom"/>
        <w:rPr>
          <w:rFonts w:ascii="黑体" w:eastAsia="黑体"/>
          <w:color w:val="auto"/>
          <w:sz w:val="48"/>
          <w:szCs w:val="48"/>
          <w:highlight w:val="none"/>
        </w:rPr>
      </w:pPr>
      <w:r>
        <w:rPr>
          <w:rFonts w:hint="eastAsia" w:ascii="黑体" w:eastAsia="黑体"/>
          <w:color w:val="auto"/>
          <w:sz w:val="48"/>
          <w:szCs w:val="48"/>
          <w:highlight w:val="none"/>
          <w:lang w:eastAsia="zh-CN"/>
        </w:rPr>
        <w:t>上固服务区</w:t>
      </w:r>
      <w:r>
        <w:rPr>
          <w:rFonts w:hint="eastAsia" w:ascii="黑体" w:eastAsia="黑体"/>
          <w:color w:val="auto"/>
          <w:sz w:val="48"/>
          <w:szCs w:val="48"/>
          <w:highlight w:val="none"/>
        </w:rPr>
        <w:t>分布式</w:t>
      </w:r>
      <w:r>
        <w:rPr>
          <w:rFonts w:hint="eastAsia" w:ascii="黑体" w:eastAsia="黑体"/>
          <w:color w:val="auto"/>
          <w:sz w:val="48"/>
          <w:szCs w:val="48"/>
          <w:highlight w:val="none"/>
          <w:lang w:eastAsia="zh-CN"/>
        </w:rPr>
        <w:t>光伏车棚</w:t>
      </w:r>
      <w:r>
        <w:rPr>
          <w:rFonts w:hint="eastAsia" w:ascii="黑体" w:eastAsia="黑体"/>
          <w:color w:val="auto"/>
          <w:sz w:val="48"/>
          <w:szCs w:val="48"/>
          <w:highlight w:val="none"/>
        </w:rPr>
        <w:t>设备设施</w:t>
      </w:r>
    </w:p>
    <w:p>
      <w:pPr>
        <w:widowControl/>
        <w:tabs>
          <w:tab w:val="left" w:pos="3828"/>
        </w:tabs>
        <w:autoSpaceDE w:val="0"/>
        <w:autoSpaceDN w:val="0"/>
        <w:spacing w:line="440" w:lineRule="atLeast"/>
        <w:ind w:left="-215" w:right="-414"/>
        <w:jc w:val="center"/>
        <w:textAlignment w:val="bottom"/>
        <w:rPr>
          <w:rFonts w:eastAsia="黑体"/>
          <w:snapToGrid w:val="0"/>
          <w:color w:val="auto"/>
          <w:spacing w:val="60"/>
          <w:sz w:val="96"/>
          <w:szCs w:val="24"/>
          <w:highlight w:val="none"/>
        </w:rPr>
      </w:pPr>
      <w:r>
        <w:rPr>
          <w:rFonts w:hint="eastAsia" w:ascii="黑体" w:eastAsia="黑体"/>
          <w:color w:val="auto"/>
          <w:sz w:val="48"/>
          <w:szCs w:val="48"/>
          <w:highlight w:val="none"/>
        </w:rPr>
        <w:t>施工项目</w:t>
      </w:r>
    </w:p>
    <w:p>
      <w:pPr>
        <w:widowControl/>
        <w:autoSpaceDE w:val="0"/>
        <w:autoSpaceDN w:val="0"/>
        <w:spacing w:line="440" w:lineRule="atLeast"/>
        <w:jc w:val="center"/>
        <w:textAlignment w:val="bottom"/>
        <w:rPr>
          <w:b/>
          <w:snapToGrid w:val="0"/>
          <w:color w:val="auto"/>
          <w:spacing w:val="30"/>
          <w:sz w:val="48"/>
          <w:highlight w:val="none"/>
        </w:rPr>
      </w:pPr>
    </w:p>
    <w:p>
      <w:pPr>
        <w:widowControl/>
        <w:autoSpaceDE w:val="0"/>
        <w:autoSpaceDN w:val="0"/>
        <w:spacing w:line="440" w:lineRule="atLeast"/>
        <w:jc w:val="center"/>
        <w:textAlignment w:val="bottom"/>
        <w:rPr>
          <w:b/>
          <w:snapToGrid w:val="0"/>
          <w:color w:val="auto"/>
          <w:spacing w:val="30"/>
          <w:sz w:val="48"/>
          <w:highlight w:val="none"/>
        </w:rPr>
      </w:pPr>
    </w:p>
    <w:p>
      <w:pPr>
        <w:widowControl/>
        <w:autoSpaceDE w:val="0"/>
        <w:autoSpaceDN w:val="0"/>
        <w:spacing w:line="440" w:lineRule="atLeast"/>
        <w:jc w:val="center"/>
        <w:textAlignment w:val="bottom"/>
        <w:rPr>
          <w:b/>
          <w:snapToGrid w:val="0"/>
          <w:color w:val="auto"/>
          <w:spacing w:val="30"/>
          <w:sz w:val="48"/>
          <w:highlight w:val="none"/>
        </w:rPr>
      </w:pPr>
    </w:p>
    <w:p>
      <w:pPr>
        <w:widowControl/>
        <w:autoSpaceDE w:val="0"/>
        <w:autoSpaceDN w:val="0"/>
        <w:spacing w:line="440" w:lineRule="atLeast"/>
        <w:jc w:val="center"/>
        <w:textAlignment w:val="bottom"/>
        <w:rPr>
          <w:b/>
          <w:snapToGrid w:val="0"/>
          <w:color w:val="auto"/>
          <w:spacing w:val="30"/>
          <w:sz w:val="48"/>
          <w:highlight w:val="none"/>
        </w:rPr>
      </w:pPr>
    </w:p>
    <w:p>
      <w:pPr>
        <w:widowControl/>
        <w:autoSpaceDE w:val="0"/>
        <w:autoSpaceDN w:val="0"/>
        <w:spacing w:before="120" w:line="440" w:lineRule="atLeast"/>
        <w:jc w:val="center"/>
        <w:textAlignment w:val="bottom"/>
        <w:rPr>
          <w:rFonts w:eastAsia="黑体"/>
          <w:snapToGrid w:val="0"/>
          <w:color w:val="auto"/>
          <w:sz w:val="72"/>
          <w:szCs w:val="21"/>
          <w:highlight w:val="none"/>
        </w:rPr>
      </w:pPr>
      <w:r>
        <w:rPr>
          <w:rFonts w:hint="eastAsia" w:eastAsia="黑体"/>
          <w:snapToGrid w:val="0"/>
          <w:color w:val="auto"/>
          <w:sz w:val="72"/>
          <w:szCs w:val="21"/>
          <w:highlight w:val="none"/>
        </w:rPr>
        <w:t>采</w:t>
      </w:r>
    </w:p>
    <w:p>
      <w:pPr>
        <w:widowControl/>
        <w:autoSpaceDE w:val="0"/>
        <w:autoSpaceDN w:val="0"/>
        <w:spacing w:before="120" w:line="440" w:lineRule="atLeast"/>
        <w:jc w:val="center"/>
        <w:textAlignment w:val="bottom"/>
        <w:rPr>
          <w:rFonts w:eastAsia="黑体"/>
          <w:snapToGrid w:val="0"/>
          <w:color w:val="auto"/>
          <w:sz w:val="72"/>
          <w:szCs w:val="21"/>
          <w:highlight w:val="none"/>
        </w:rPr>
      </w:pPr>
      <w:r>
        <w:rPr>
          <w:rFonts w:hint="eastAsia" w:eastAsia="黑体"/>
          <w:snapToGrid w:val="0"/>
          <w:color w:val="auto"/>
          <w:sz w:val="72"/>
          <w:szCs w:val="21"/>
          <w:highlight w:val="none"/>
        </w:rPr>
        <w:t>购</w:t>
      </w:r>
    </w:p>
    <w:p>
      <w:pPr>
        <w:widowControl/>
        <w:autoSpaceDE w:val="0"/>
        <w:autoSpaceDN w:val="0"/>
        <w:spacing w:before="120" w:line="440" w:lineRule="atLeast"/>
        <w:jc w:val="center"/>
        <w:textAlignment w:val="bottom"/>
        <w:rPr>
          <w:rFonts w:eastAsia="黑体"/>
          <w:snapToGrid w:val="0"/>
          <w:color w:val="auto"/>
          <w:sz w:val="72"/>
          <w:szCs w:val="21"/>
          <w:highlight w:val="none"/>
        </w:rPr>
      </w:pPr>
      <w:r>
        <w:rPr>
          <w:rFonts w:hint="eastAsia" w:eastAsia="黑体"/>
          <w:snapToGrid w:val="0"/>
          <w:color w:val="auto"/>
          <w:sz w:val="72"/>
          <w:szCs w:val="21"/>
          <w:highlight w:val="none"/>
        </w:rPr>
        <w:t>文</w:t>
      </w:r>
    </w:p>
    <w:p>
      <w:pPr>
        <w:widowControl/>
        <w:autoSpaceDE w:val="0"/>
        <w:autoSpaceDN w:val="0"/>
        <w:spacing w:before="120" w:line="440" w:lineRule="atLeast"/>
        <w:jc w:val="center"/>
        <w:textAlignment w:val="bottom"/>
        <w:rPr>
          <w:rFonts w:eastAsia="黑体"/>
          <w:snapToGrid w:val="0"/>
          <w:color w:val="auto"/>
          <w:sz w:val="72"/>
          <w:szCs w:val="21"/>
          <w:highlight w:val="none"/>
        </w:rPr>
      </w:pPr>
      <w:r>
        <w:rPr>
          <w:rFonts w:hint="eastAsia" w:eastAsia="黑体"/>
          <w:snapToGrid w:val="0"/>
          <w:color w:val="auto"/>
          <w:sz w:val="72"/>
          <w:szCs w:val="21"/>
          <w:highlight w:val="none"/>
        </w:rPr>
        <w:t>件</w:t>
      </w: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textAlignment w:val="bottom"/>
        <w:rPr>
          <w:b/>
          <w:snapToGrid w:val="0"/>
          <w:color w:val="auto"/>
          <w:spacing w:val="30"/>
          <w:sz w:val="28"/>
          <w:highlight w:val="none"/>
        </w:rPr>
      </w:pP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jc w:val="center"/>
        <w:textAlignment w:val="bottom"/>
        <w:rPr>
          <w:b/>
          <w:snapToGrid w:val="0"/>
          <w:color w:val="auto"/>
          <w:spacing w:val="30"/>
          <w:sz w:val="28"/>
          <w:highlight w:val="none"/>
        </w:rPr>
      </w:pPr>
    </w:p>
    <w:p>
      <w:pPr>
        <w:widowControl/>
        <w:autoSpaceDE w:val="0"/>
        <w:autoSpaceDN w:val="0"/>
        <w:spacing w:line="440" w:lineRule="atLeast"/>
        <w:textAlignment w:val="bottom"/>
        <w:rPr>
          <w:b/>
          <w:snapToGrid w:val="0"/>
          <w:color w:val="auto"/>
          <w:spacing w:val="30"/>
          <w:sz w:val="28"/>
          <w:highlight w:val="none"/>
        </w:rPr>
      </w:pPr>
    </w:p>
    <w:p>
      <w:pPr>
        <w:snapToGrid w:val="0"/>
        <w:jc w:val="center"/>
        <w:rPr>
          <w:rFonts w:ascii="方正美黑简体" w:hAnsi="华文楷体" w:eastAsia="方正美黑简体" w:cs="华文楷体"/>
          <w:color w:val="auto"/>
          <w:w w:val="90"/>
          <w:sz w:val="32"/>
          <w:szCs w:val="32"/>
          <w:highlight w:val="none"/>
        </w:rPr>
      </w:pPr>
      <w:r>
        <w:rPr>
          <w:rFonts w:hint="eastAsia" w:ascii="方正美黑简体" w:hAnsi="华文楷体" w:eastAsia="方正美黑简体" w:cs="华文楷体"/>
          <w:color w:val="auto"/>
          <w:w w:val="90"/>
          <w:sz w:val="32"/>
          <w:szCs w:val="32"/>
          <w:highlight w:val="none"/>
        </w:rPr>
        <w:t>采购人：江西省高速电建新能源有限责任公司</w:t>
      </w:r>
    </w:p>
    <w:p>
      <w:pPr>
        <w:snapToGrid w:val="0"/>
        <w:spacing w:before="240" w:beforeLines="100"/>
        <w:jc w:val="center"/>
        <w:rPr>
          <w:rFonts w:ascii="方正美黑简体" w:hAnsi="华文楷体" w:eastAsia="方正美黑简体" w:cs="华文楷体"/>
          <w:color w:val="auto"/>
          <w:spacing w:val="20"/>
          <w:sz w:val="32"/>
          <w:szCs w:val="32"/>
          <w:highlight w:val="none"/>
        </w:rPr>
      </w:pPr>
      <w:bookmarkStart w:id="0" w:name="_Toc211597312"/>
      <w:bookmarkStart w:id="1" w:name="_Toc42952418"/>
      <w:r>
        <w:rPr>
          <w:rFonts w:hint="eastAsia" w:ascii="方正美黑简体" w:hAnsi="华文楷体" w:eastAsia="方正美黑简体" w:cs="华文楷体"/>
          <w:color w:val="auto"/>
          <w:spacing w:val="20"/>
          <w:sz w:val="32"/>
          <w:szCs w:val="32"/>
          <w:highlight w:val="none"/>
        </w:rPr>
        <w:t>二Ｏ二</w:t>
      </w:r>
      <w:r>
        <w:rPr>
          <w:rFonts w:hint="eastAsia" w:ascii="方正美黑简体" w:hAnsi="华文楷体" w:eastAsia="方正美黑简体" w:cs="华文楷体"/>
          <w:color w:val="auto"/>
          <w:spacing w:val="20"/>
          <w:sz w:val="32"/>
          <w:szCs w:val="32"/>
          <w:highlight w:val="none"/>
          <w:lang w:eastAsia="zh-CN"/>
        </w:rPr>
        <w:t>二</w:t>
      </w:r>
      <w:r>
        <w:rPr>
          <w:rFonts w:hint="eastAsia" w:ascii="方正美黑简体" w:hAnsi="华文楷体" w:eastAsia="方正美黑简体" w:cs="华文楷体"/>
          <w:color w:val="auto"/>
          <w:spacing w:val="20"/>
          <w:sz w:val="32"/>
          <w:szCs w:val="32"/>
          <w:highlight w:val="none"/>
        </w:rPr>
        <w:t>年</w:t>
      </w:r>
      <w:r>
        <w:rPr>
          <w:rFonts w:hint="eastAsia" w:ascii="方正美黑简体" w:hAnsi="华文楷体" w:eastAsia="方正美黑简体" w:cs="华文楷体"/>
          <w:color w:val="auto"/>
          <w:spacing w:val="20"/>
          <w:sz w:val="32"/>
          <w:szCs w:val="32"/>
          <w:highlight w:val="none"/>
          <w:lang w:eastAsia="zh-CN"/>
        </w:rPr>
        <w:t>四</w:t>
      </w:r>
      <w:r>
        <w:rPr>
          <w:rFonts w:hint="eastAsia" w:ascii="方正美黑简体" w:hAnsi="华文楷体" w:eastAsia="方正美黑简体" w:cs="华文楷体"/>
          <w:color w:val="auto"/>
          <w:spacing w:val="20"/>
          <w:sz w:val="32"/>
          <w:szCs w:val="32"/>
          <w:highlight w:val="none"/>
        </w:rPr>
        <w:t>月</w:t>
      </w:r>
    </w:p>
    <w:p>
      <w:pPr>
        <w:spacing w:line="288" w:lineRule="auto"/>
        <w:rPr>
          <w:rFonts w:ascii="Times New Roman" w:hAnsi="Times New Roman"/>
          <w:color w:val="auto"/>
          <w:highlight w:val="none"/>
        </w:rPr>
      </w:pPr>
      <w:r>
        <w:rPr>
          <w:rFonts w:ascii="Times New Roman" w:hAnsi="Times New Roman"/>
          <w:color w:val="auto"/>
          <w:highlight w:val="none"/>
        </w:rPr>
        <w:br w:type="page"/>
      </w:r>
      <w:bookmarkStart w:id="587" w:name="_GoBack"/>
      <w:bookmarkEnd w:id="587"/>
    </w:p>
    <w:p>
      <w:pPr>
        <w:jc w:val="center"/>
        <w:rPr>
          <w:color w:val="auto"/>
          <w:sz w:val="30"/>
          <w:szCs w:val="30"/>
          <w:highlight w:val="none"/>
        </w:rPr>
      </w:pPr>
      <w:r>
        <w:rPr>
          <w:rFonts w:hint="eastAsia" w:ascii="仿宋_GB2312" w:hAnsi="黑体" w:eastAsia="仿宋_GB2312"/>
          <w:b/>
          <w:bCs/>
          <w:color w:val="auto"/>
          <w:sz w:val="36"/>
          <w:szCs w:val="36"/>
          <w:highlight w:val="none"/>
        </w:rPr>
        <w:t>目     录</w:t>
      </w:r>
      <w:r>
        <w:rPr>
          <w:color w:val="auto"/>
          <w:sz w:val="30"/>
          <w:szCs w:val="30"/>
          <w:highlight w:val="none"/>
        </w:rPr>
        <w:fldChar w:fldCharType="begin"/>
      </w:r>
      <w:r>
        <w:rPr>
          <w:color w:val="auto"/>
          <w:sz w:val="30"/>
          <w:szCs w:val="30"/>
          <w:highlight w:val="none"/>
        </w:rPr>
        <w:instrText xml:space="preserve"> </w:instrText>
      </w:r>
      <w:r>
        <w:rPr>
          <w:rFonts w:hint="eastAsia"/>
          <w:color w:val="auto"/>
          <w:sz w:val="30"/>
          <w:szCs w:val="30"/>
          <w:highlight w:val="none"/>
        </w:rPr>
        <w:instrText xml:space="preserve">TOC \o "1-4" \h \z \u</w:instrText>
      </w:r>
      <w:r>
        <w:rPr>
          <w:color w:val="auto"/>
          <w:sz w:val="30"/>
          <w:szCs w:val="30"/>
          <w:highlight w:val="none"/>
        </w:rPr>
        <w:instrText xml:space="preserve"> </w:instrText>
      </w:r>
      <w:r>
        <w:rPr>
          <w:color w:val="auto"/>
          <w:sz w:val="30"/>
          <w:szCs w:val="30"/>
          <w:highlight w:val="none"/>
        </w:rPr>
        <w:fldChar w:fldCharType="separate"/>
      </w:r>
    </w:p>
    <w:p>
      <w:pPr>
        <w:pStyle w:val="45"/>
        <w:tabs>
          <w:tab w:val="right" w:leader="dot" w:pos="8561"/>
        </w:tabs>
        <w:rPr>
          <w:color w:val="auto"/>
          <w:highlight w:val="none"/>
        </w:rPr>
      </w:pPr>
      <w:r>
        <w:rPr>
          <w:color w:val="auto"/>
          <w:highlight w:val="none"/>
        </w:rPr>
        <w:fldChar w:fldCharType="begin"/>
      </w:r>
      <w:r>
        <w:rPr>
          <w:color w:val="auto"/>
          <w:highlight w:val="none"/>
        </w:rPr>
        <w:instrText xml:space="preserve"> HYPERLINK \l "_Toc6825" </w:instrText>
      </w:r>
      <w:r>
        <w:rPr>
          <w:color w:val="auto"/>
          <w:highlight w:val="none"/>
        </w:rPr>
        <w:fldChar w:fldCharType="separate"/>
      </w:r>
      <w:r>
        <w:rPr>
          <w:color w:val="auto"/>
          <w:kern w:val="44"/>
          <w:szCs w:val="48"/>
          <w:highlight w:val="none"/>
        </w:rPr>
        <w:t>第</w:t>
      </w:r>
      <w:r>
        <w:rPr>
          <w:rFonts w:hint="eastAsia"/>
          <w:color w:val="auto"/>
          <w:kern w:val="44"/>
          <w:szCs w:val="48"/>
          <w:highlight w:val="none"/>
        </w:rPr>
        <w:t>一</w:t>
      </w:r>
      <w:r>
        <w:rPr>
          <w:color w:val="auto"/>
          <w:kern w:val="44"/>
          <w:szCs w:val="48"/>
          <w:highlight w:val="none"/>
        </w:rPr>
        <w:t xml:space="preserve">章  </w:t>
      </w:r>
      <w:r>
        <w:rPr>
          <w:rFonts w:hint="eastAsia"/>
          <w:color w:val="auto"/>
          <w:kern w:val="44"/>
          <w:szCs w:val="48"/>
          <w:highlight w:val="none"/>
        </w:rPr>
        <w:t>采购公告</w:t>
      </w:r>
      <w:r>
        <w:rPr>
          <w:color w:val="auto"/>
          <w:highlight w:val="none"/>
        </w:rPr>
        <w:tab/>
      </w:r>
      <w:r>
        <w:rPr>
          <w:color w:val="auto"/>
          <w:highlight w:val="none"/>
        </w:rPr>
        <w:fldChar w:fldCharType="begin"/>
      </w:r>
      <w:r>
        <w:rPr>
          <w:color w:val="auto"/>
          <w:highlight w:val="none"/>
        </w:rPr>
        <w:instrText xml:space="preserve"> PAGEREF _Toc6825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"_Toc14227" </w:instrText>
      </w:r>
      <w:r>
        <w:rPr>
          <w:color w:val="auto"/>
          <w:highlight w:val="none"/>
        </w:rPr>
        <w:fldChar w:fldCharType="separate"/>
      </w:r>
      <w:r>
        <w:rPr>
          <w:rFonts w:hint="eastAsia" w:ascii="宋体" w:hAnsi="宋体"/>
          <w:color w:val="auto"/>
          <w:szCs w:val="28"/>
          <w:highlight w:val="none"/>
        </w:rPr>
        <w:t>1. 采购项目基本情况及要求</w:t>
      </w:r>
      <w:r>
        <w:rPr>
          <w:color w:val="auto"/>
          <w:highlight w:val="none"/>
        </w:rPr>
        <w:tab/>
      </w:r>
      <w:r>
        <w:rPr>
          <w:color w:val="auto"/>
          <w:highlight w:val="none"/>
        </w:rPr>
        <w:fldChar w:fldCharType="begin"/>
      </w:r>
      <w:r>
        <w:rPr>
          <w:color w:val="auto"/>
          <w:highlight w:val="none"/>
        </w:rPr>
        <w:instrText xml:space="preserve"> PAGEREF _Toc14227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"_Toc9798" </w:instrText>
      </w:r>
      <w:r>
        <w:rPr>
          <w:color w:val="auto"/>
          <w:highlight w:val="none"/>
        </w:rPr>
        <w:fldChar w:fldCharType="separate"/>
      </w:r>
      <w:r>
        <w:rPr>
          <w:rFonts w:hint="eastAsia" w:ascii="宋体" w:hAnsi="宋体"/>
          <w:color w:val="auto"/>
          <w:highlight w:val="none"/>
        </w:rPr>
        <w:t>1.1项目概况</w:t>
      </w:r>
      <w:r>
        <w:rPr>
          <w:color w:val="auto"/>
          <w:highlight w:val="none"/>
        </w:rPr>
        <w:tab/>
      </w:r>
      <w:r>
        <w:rPr>
          <w:color w:val="auto"/>
          <w:highlight w:val="none"/>
        </w:rPr>
        <w:fldChar w:fldCharType="begin"/>
      </w:r>
      <w:r>
        <w:rPr>
          <w:color w:val="auto"/>
          <w:highlight w:val="none"/>
        </w:rPr>
        <w:instrText xml:space="preserve"> PAGEREF _Toc9798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"_Toc24967" </w:instrText>
      </w:r>
      <w:r>
        <w:rPr>
          <w:color w:val="auto"/>
          <w:highlight w:val="none"/>
        </w:rPr>
        <w:fldChar w:fldCharType="separate"/>
      </w:r>
      <w:r>
        <w:rPr>
          <w:rFonts w:hint="eastAsia" w:ascii="宋体" w:hAnsi="宋体"/>
          <w:color w:val="auto"/>
          <w:highlight w:val="none"/>
        </w:rPr>
        <w:t>1.2采购范围</w:t>
      </w:r>
      <w:r>
        <w:rPr>
          <w:color w:val="auto"/>
          <w:highlight w:val="none"/>
        </w:rPr>
        <w:tab/>
      </w:r>
      <w:r>
        <w:rPr>
          <w:color w:val="auto"/>
          <w:highlight w:val="none"/>
        </w:rPr>
        <w:fldChar w:fldCharType="begin"/>
      </w:r>
      <w:r>
        <w:rPr>
          <w:color w:val="auto"/>
          <w:highlight w:val="none"/>
        </w:rPr>
        <w:instrText xml:space="preserve"> PAGEREF _Toc24967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"_Toc21159" </w:instrText>
      </w:r>
      <w:r>
        <w:rPr>
          <w:color w:val="auto"/>
          <w:highlight w:val="none"/>
        </w:rPr>
        <w:fldChar w:fldCharType="separate"/>
      </w:r>
      <w:r>
        <w:rPr>
          <w:rFonts w:hint="eastAsia" w:ascii="宋体" w:hAnsi="宋体"/>
          <w:color w:val="auto"/>
          <w:highlight w:val="none"/>
        </w:rPr>
        <w:t>1.3计划工期</w:t>
      </w:r>
      <w:r>
        <w:rPr>
          <w:color w:val="auto"/>
          <w:highlight w:val="none"/>
        </w:rPr>
        <w:tab/>
      </w:r>
      <w:r>
        <w:rPr>
          <w:color w:val="auto"/>
          <w:highlight w:val="none"/>
        </w:rPr>
        <w:fldChar w:fldCharType="begin"/>
      </w:r>
      <w:r>
        <w:rPr>
          <w:color w:val="auto"/>
          <w:highlight w:val="none"/>
        </w:rPr>
        <w:instrText xml:space="preserve"> PAGEREF _Toc21159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"_Toc11214" </w:instrText>
      </w:r>
      <w:r>
        <w:rPr>
          <w:color w:val="auto"/>
          <w:highlight w:val="none"/>
        </w:rPr>
        <w:fldChar w:fldCharType="separate"/>
      </w:r>
      <w:r>
        <w:rPr>
          <w:rFonts w:hint="eastAsia" w:ascii="宋体" w:hAnsi="宋体"/>
          <w:color w:val="auto"/>
          <w:highlight w:val="none"/>
        </w:rPr>
        <w:t>1.4 承包商</w:t>
      </w:r>
      <w:r>
        <w:rPr>
          <w:rFonts w:ascii="宋体" w:hAnsi="宋体"/>
          <w:color w:val="auto"/>
          <w:highlight w:val="none"/>
        </w:rPr>
        <w:t>资格要求</w:t>
      </w:r>
      <w:r>
        <w:rPr>
          <w:color w:val="auto"/>
          <w:highlight w:val="none"/>
        </w:rPr>
        <w:tab/>
      </w:r>
      <w:r>
        <w:rPr>
          <w:color w:val="auto"/>
          <w:highlight w:val="none"/>
        </w:rPr>
        <w:fldChar w:fldCharType="begin"/>
      </w:r>
      <w:r>
        <w:rPr>
          <w:color w:val="auto"/>
          <w:highlight w:val="none"/>
        </w:rPr>
        <w:instrText xml:space="preserve"> PAGEREF _Toc11214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"_Toc6968" </w:instrText>
      </w:r>
      <w:r>
        <w:rPr>
          <w:color w:val="auto"/>
          <w:highlight w:val="none"/>
        </w:rPr>
        <w:fldChar w:fldCharType="separate"/>
      </w:r>
      <w:r>
        <w:rPr>
          <w:rFonts w:hint="eastAsia" w:ascii="宋体" w:hAnsi="宋体"/>
          <w:color w:val="auto"/>
          <w:szCs w:val="28"/>
          <w:highlight w:val="none"/>
        </w:rPr>
        <w:t>2. 采购文件的领取</w:t>
      </w:r>
      <w:r>
        <w:rPr>
          <w:color w:val="auto"/>
          <w:highlight w:val="none"/>
        </w:rPr>
        <w:tab/>
      </w:r>
      <w:r>
        <w:rPr>
          <w:color w:val="auto"/>
          <w:highlight w:val="none"/>
        </w:rPr>
        <w:fldChar w:fldCharType="begin"/>
      </w:r>
      <w:r>
        <w:rPr>
          <w:color w:val="auto"/>
          <w:highlight w:val="none"/>
        </w:rPr>
        <w:instrText xml:space="preserve"> PAGEREF _Toc6968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"_Toc6923" </w:instrText>
      </w:r>
      <w:r>
        <w:rPr>
          <w:color w:val="auto"/>
          <w:highlight w:val="none"/>
        </w:rPr>
        <w:fldChar w:fldCharType="separate"/>
      </w:r>
      <w:r>
        <w:rPr>
          <w:rFonts w:hint="eastAsia" w:ascii="宋体" w:hAnsi="宋体"/>
          <w:color w:val="auto"/>
          <w:szCs w:val="28"/>
          <w:highlight w:val="none"/>
        </w:rPr>
        <w:t>3. 响应文件的递交</w:t>
      </w:r>
      <w:r>
        <w:rPr>
          <w:color w:val="auto"/>
          <w:highlight w:val="none"/>
        </w:rPr>
        <w:tab/>
      </w:r>
      <w:r>
        <w:rPr>
          <w:color w:val="auto"/>
          <w:highlight w:val="none"/>
        </w:rPr>
        <w:fldChar w:fldCharType="begin"/>
      </w:r>
      <w:r>
        <w:rPr>
          <w:color w:val="auto"/>
          <w:highlight w:val="none"/>
        </w:rPr>
        <w:instrText xml:space="preserve"> PAGEREF _Toc6923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"_Toc13647" </w:instrText>
      </w:r>
      <w:r>
        <w:rPr>
          <w:color w:val="auto"/>
          <w:highlight w:val="none"/>
        </w:rPr>
        <w:fldChar w:fldCharType="separate"/>
      </w:r>
      <w:r>
        <w:rPr>
          <w:rFonts w:hint="eastAsia" w:ascii="宋体" w:hAnsi="宋体"/>
          <w:color w:val="auto"/>
          <w:szCs w:val="28"/>
          <w:highlight w:val="none"/>
        </w:rPr>
        <w:t>5.</w:t>
      </w:r>
      <w:r>
        <w:rPr>
          <w:rFonts w:ascii="宋体" w:hAnsi="宋体"/>
          <w:color w:val="auto"/>
          <w:szCs w:val="28"/>
          <w:highlight w:val="none"/>
        </w:rPr>
        <w:t xml:space="preserve"> 联系方式</w:t>
      </w:r>
      <w:r>
        <w:rPr>
          <w:color w:val="auto"/>
          <w:highlight w:val="none"/>
        </w:rPr>
        <w:tab/>
      </w:r>
      <w:r>
        <w:rPr>
          <w:color w:val="auto"/>
          <w:highlight w:val="none"/>
        </w:rPr>
        <w:fldChar w:fldCharType="begin"/>
      </w:r>
      <w:r>
        <w:rPr>
          <w:color w:val="auto"/>
          <w:highlight w:val="none"/>
        </w:rPr>
        <w:instrText xml:space="preserve"> PAGEREF _Toc13647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45"/>
        <w:tabs>
          <w:tab w:val="right" w:leader="dot" w:pos="8561"/>
        </w:tabs>
        <w:rPr>
          <w:color w:val="auto"/>
          <w:highlight w:val="none"/>
        </w:rPr>
      </w:pPr>
      <w:r>
        <w:rPr>
          <w:color w:val="auto"/>
          <w:highlight w:val="none"/>
        </w:rPr>
        <w:fldChar w:fldCharType="begin"/>
      </w:r>
      <w:r>
        <w:rPr>
          <w:color w:val="auto"/>
          <w:highlight w:val="none"/>
        </w:rPr>
        <w:instrText xml:space="preserve"> HYPERLINK \l "_Toc19831" </w:instrText>
      </w:r>
      <w:r>
        <w:rPr>
          <w:color w:val="auto"/>
          <w:highlight w:val="none"/>
        </w:rPr>
        <w:fldChar w:fldCharType="separate"/>
      </w:r>
      <w:r>
        <w:rPr>
          <w:color w:val="auto"/>
          <w:kern w:val="44"/>
          <w:szCs w:val="48"/>
          <w:highlight w:val="none"/>
        </w:rPr>
        <w:t>第</w:t>
      </w:r>
      <w:r>
        <w:rPr>
          <w:rFonts w:hint="eastAsia"/>
          <w:color w:val="auto"/>
          <w:kern w:val="44"/>
          <w:szCs w:val="48"/>
          <w:highlight w:val="none"/>
        </w:rPr>
        <w:t>二</w:t>
      </w:r>
      <w:r>
        <w:rPr>
          <w:color w:val="auto"/>
          <w:kern w:val="44"/>
          <w:szCs w:val="48"/>
          <w:highlight w:val="none"/>
        </w:rPr>
        <w:t xml:space="preserve">章  </w:t>
      </w:r>
      <w:r>
        <w:rPr>
          <w:rFonts w:hint="eastAsia"/>
          <w:color w:val="auto"/>
          <w:kern w:val="44"/>
          <w:szCs w:val="48"/>
          <w:highlight w:val="none"/>
        </w:rPr>
        <w:t>采购</w:t>
      </w:r>
      <w:r>
        <w:rPr>
          <w:color w:val="auto"/>
          <w:kern w:val="44"/>
          <w:szCs w:val="48"/>
          <w:highlight w:val="none"/>
        </w:rPr>
        <w:t>须知</w:t>
      </w:r>
      <w:r>
        <w:rPr>
          <w:color w:val="auto"/>
          <w:highlight w:val="none"/>
        </w:rPr>
        <w:tab/>
      </w:r>
      <w:r>
        <w:rPr>
          <w:color w:val="auto"/>
          <w:highlight w:val="none"/>
        </w:rPr>
        <w:fldChar w:fldCharType="begin"/>
      </w:r>
      <w:r>
        <w:rPr>
          <w:color w:val="auto"/>
          <w:highlight w:val="none"/>
        </w:rPr>
        <w:instrText xml:space="preserve"> PAGEREF _Toc19831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"_Toc29593" </w:instrText>
      </w:r>
      <w:r>
        <w:rPr>
          <w:color w:val="auto"/>
          <w:highlight w:val="none"/>
        </w:rPr>
        <w:fldChar w:fldCharType="separate"/>
      </w:r>
      <w:r>
        <w:rPr>
          <w:rFonts w:hint="eastAsia" w:ascii="宋体" w:hAnsi="宋体"/>
          <w:color w:val="auto"/>
          <w:szCs w:val="28"/>
          <w:highlight w:val="none"/>
        </w:rPr>
        <w:t>采购须知前附表</w:t>
      </w:r>
      <w:r>
        <w:rPr>
          <w:color w:val="auto"/>
          <w:highlight w:val="none"/>
        </w:rPr>
        <w:tab/>
      </w:r>
      <w:r>
        <w:rPr>
          <w:color w:val="auto"/>
          <w:highlight w:val="none"/>
        </w:rPr>
        <w:fldChar w:fldCharType="begin"/>
      </w:r>
      <w:r>
        <w:rPr>
          <w:color w:val="auto"/>
          <w:highlight w:val="none"/>
        </w:rPr>
        <w:instrText xml:space="preserve"> PAGEREF _Toc29593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"_Toc2836" </w:instrText>
      </w:r>
      <w:r>
        <w:rPr>
          <w:color w:val="auto"/>
          <w:highlight w:val="none"/>
        </w:rPr>
        <w:fldChar w:fldCharType="separate"/>
      </w:r>
      <w:r>
        <w:rPr>
          <w:rFonts w:hint="eastAsia" w:ascii="宋体" w:hAnsi="宋体"/>
          <w:color w:val="auto"/>
          <w:szCs w:val="28"/>
          <w:highlight w:val="none"/>
        </w:rPr>
        <w:t>1  总则</w:t>
      </w:r>
      <w:r>
        <w:rPr>
          <w:color w:val="auto"/>
          <w:highlight w:val="none"/>
        </w:rPr>
        <w:tab/>
      </w:r>
      <w:r>
        <w:rPr>
          <w:color w:val="auto"/>
          <w:highlight w:val="none"/>
        </w:rPr>
        <w:fldChar w:fldCharType="begin"/>
      </w:r>
      <w:r>
        <w:rPr>
          <w:color w:val="auto"/>
          <w:highlight w:val="none"/>
        </w:rPr>
        <w:instrText xml:space="preserve"> PAGEREF _Toc2836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"_Toc26091" </w:instrText>
      </w:r>
      <w:r>
        <w:rPr>
          <w:color w:val="auto"/>
          <w:highlight w:val="none"/>
        </w:rPr>
        <w:fldChar w:fldCharType="separate"/>
      </w:r>
      <w:r>
        <w:rPr>
          <w:rFonts w:hint="eastAsia" w:ascii="宋体" w:hAnsi="宋体"/>
          <w:color w:val="auto"/>
          <w:highlight w:val="none"/>
        </w:rPr>
        <w:t>1.1 定义</w:t>
      </w:r>
      <w:r>
        <w:rPr>
          <w:color w:val="auto"/>
          <w:highlight w:val="none"/>
        </w:rPr>
        <w:tab/>
      </w:r>
      <w:r>
        <w:rPr>
          <w:color w:val="auto"/>
          <w:highlight w:val="none"/>
        </w:rPr>
        <w:fldChar w:fldCharType="begin"/>
      </w:r>
      <w:r>
        <w:rPr>
          <w:color w:val="auto"/>
          <w:highlight w:val="none"/>
        </w:rPr>
        <w:instrText xml:space="preserve"> PAGEREF _Toc26091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"_Toc29889" </w:instrText>
      </w:r>
      <w:r>
        <w:rPr>
          <w:color w:val="auto"/>
          <w:highlight w:val="none"/>
        </w:rPr>
        <w:fldChar w:fldCharType="separate"/>
      </w:r>
      <w:r>
        <w:rPr>
          <w:rFonts w:hint="eastAsia" w:ascii="宋体" w:hAnsi="宋体"/>
          <w:color w:val="auto"/>
          <w:highlight w:val="none"/>
        </w:rPr>
        <w:t>1.2</w:t>
      </w:r>
      <w:r>
        <w:rPr>
          <w:rFonts w:ascii="宋体" w:hAnsi="宋体"/>
          <w:color w:val="auto"/>
          <w:highlight w:val="none"/>
        </w:rPr>
        <w:t xml:space="preserve"> </w:t>
      </w:r>
      <w:r>
        <w:rPr>
          <w:rFonts w:hint="eastAsia" w:ascii="宋体" w:hAnsi="宋体"/>
          <w:color w:val="auto"/>
          <w:highlight w:val="none"/>
        </w:rPr>
        <w:t xml:space="preserve"> 承包商</w:t>
      </w:r>
      <w:r>
        <w:rPr>
          <w:rFonts w:ascii="宋体" w:hAnsi="宋体"/>
          <w:color w:val="auto"/>
          <w:highlight w:val="none"/>
        </w:rPr>
        <w:t>的合格条件</w:t>
      </w:r>
      <w:r>
        <w:rPr>
          <w:color w:val="auto"/>
          <w:highlight w:val="none"/>
        </w:rPr>
        <w:tab/>
      </w:r>
      <w:r>
        <w:rPr>
          <w:color w:val="auto"/>
          <w:highlight w:val="none"/>
        </w:rPr>
        <w:fldChar w:fldCharType="begin"/>
      </w:r>
      <w:r>
        <w:rPr>
          <w:color w:val="auto"/>
          <w:highlight w:val="none"/>
        </w:rPr>
        <w:instrText xml:space="preserve"> PAGEREF _Toc29889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"_Toc8351" </w:instrText>
      </w:r>
      <w:r>
        <w:rPr>
          <w:color w:val="auto"/>
          <w:highlight w:val="none"/>
        </w:rPr>
        <w:fldChar w:fldCharType="separate"/>
      </w:r>
      <w:r>
        <w:rPr>
          <w:rFonts w:hint="eastAsia" w:ascii="宋体" w:hAnsi="宋体"/>
          <w:color w:val="auto"/>
          <w:highlight w:val="none"/>
        </w:rPr>
        <w:t>1.3现场踏勘</w:t>
      </w:r>
      <w:r>
        <w:rPr>
          <w:color w:val="auto"/>
          <w:highlight w:val="none"/>
        </w:rPr>
        <w:tab/>
      </w:r>
      <w:r>
        <w:rPr>
          <w:color w:val="auto"/>
          <w:highlight w:val="none"/>
        </w:rPr>
        <w:fldChar w:fldCharType="begin"/>
      </w:r>
      <w:r>
        <w:rPr>
          <w:color w:val="auto"/>
          <w:highlight w:val="none"/>
        </w:rPr>
        <w:instrText xml:space="preserve"> PAGEREF _Toc8351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"_Toc12439" </w:instrText>
      </w:r>
      <w:r>
        <w:rPr>
          <w:color w:val="auto"/>
          <w:highlight w:val="none"/>
        </w:rPr>
        <w:fldChar w:fldCharType="separate"/>
      </w:r>
      <w:r>
        <w:rPr>
          <w:rFonts w:hint="eastAsia" w:ascii="宋体" w:hAnsi="宋体"/>
          <w:color w:val="auto"/>
          <w:szCs w:val="28"/>
          <w:highlight w:val="none"/>
        </w:rPr>
        <w:t>2采购文件</w:t>
      </w:r>
      <w:r>
        <w:rPr>
          <w:color w:val="auto"/>
          <w:highlight w:val="none"/>
        </w:rPr>
        <w:tab/>
      </w:r>
      <w:r>
        <w:rPr>
          <w:color w:val="auto"/>
          <w:highlight w:val="none"/>
        </w:rPr>
        <w:fldChar w:fldCharType="begin"/>
      </w:r>
      <w:r>
        <w:rPr>
          <w:color w:val="auto"/>
          <w:highlight w:val="none"/>
        </w:rPr>
        <w:instrText xml:space="preserve"> PAGEREF _Toc12439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"_Toc12265" </w:instrText>
      </w:r>
      <w:r>
        <w:rPr>
          <w:color w:val="auto"/>
          <w:highlight w:val="none"/>
        </w:rPr>
        <w:fldChar w:fldCharType="separate"/>
      </w:r>
      <w:r>
        <w:rPr>
          <w:rFonts w:hint="eastAsia" w:ascii="宋体" w:hAnsi="宋体"/>
          <w:color w:val="auto"/>
          <w:highlight w:val="none"/>
        </w:rPr>
        <w:t>2.1采购文件的组成</w:t>
      </w:r>
      <w:r>
        <w:rPr>
          <w:color w:val="auto"/>
          <w:highlight w:val="none"/>
        </w:rPr>
        <w:tab/>
      </w:r>
      <w:r>
        <w:rPr>
          <w:color w:val="auto"/>
          <w:highlight w:val="none"/>
        </w:rPr>
        <w:fldChar w:fldCharType="begin"/>
      </w:r>
      <w:r>
        <w:rPr>
          <w:color w:val="auto"/>
          <w:highlight w:val="none"/>
        </w:rPr>
        <w:instrText xml:space="preserve"> PAGEREF _Toc12265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"_Toc9841" </w:instrText>
      </w:r>
      <w:r>
        <w:rPr>
          <w:color w:val="auto"/>
          <w:highlight w:val="none"/>
        </w:rPr>
        <w:fldChar w:fldCharType="separate"/>
      </w:r>
      <w:r>
        <w:rPr>
          <w:rFonts w:hint="eastAsia" w:ascii="宋体" w:hAnsi="宋体"/>
          <w:color w:val="auto"/>
          <w:highlight w:val="none"/>
        </w:rPr>
        <w:t>2.2采购文件的澄清或修改</w:t>
      </w:r>
      <w:r>
        <w:rPr>
          <w:color w:val="auto"/>
          <w:highlight w:val="none"/>
        </w:rPr>
        <w:tab/>
      </w:r>
      <w:r>
        <w:rPr>
          <w:color w:val="auto"/>
          <w:highlight w:val="none"/>
        </w:rPr>
        <w:fldChar w:fldCharType="begin"/>
      </w:r>
      <w:r>
        <w:rPr>
          <w:color w:val="auto"/>
          <w:highlight w:val="none"/>
        </w:rPr>
        <w:instrText xml:space="preserve"> PAGEREF _Toc9841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"_Toc7882" </w:instrText>
      </w:r>
      <w:r>
        <w:rPr>
          <w:color w:val="auto"/>
          <w:highlight w:val="none"/>
        </w:rPr>
        <w:fldChar w:fldCharType="separate"/>
      </w:r>
      <w:r>
        <w:rPr>
          <w:rFonts w:hint="eastAsia" w:ascii="宋体" w:hAnsi="宋体"/>
          <w:color w:val="auto"/>
          <w:szCs w:val="28"/>
          <w:highlight w:val="none"/>
        </w:rPr>
        <w:t>3响应文件</w:t>
      </w:r>
      <w:r>
        <w:rPr>
          <w:color w:val="auto"/>
          <w:highlight w:val="none"/>
        </w:rPr>
        <w:tab/>
      </w:r>
      <w:r>
        <w:rPr>
          <w:color w:val="auto"/>
          <w:highlight w:val="none"/>
        </w:rPr>
        <w:fldChar w:fldCharType="begin"/>
      </w:r>
      <w:r>
        <w:rPr>
          <w:color w:val="auto"/>
          <w:highlight w:val="none"/>
        </w:rPr>
        <w:instrText xml:space="preserve"> PAGEREF _Toc7882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"_Toc13724" </w:instrText>
      </w:r>
      <w:r>
        <w:rPr>
          <w:color w:val="auto"/>
          <w:highlight w:val="none"/>
        </w:rPr>
        <w:fldChar w:fldCharType="separate"/>
      </w:r>
      <w:r>
        <w:rPr>
          <w:rFonts w:hint="eastAsia" w:ascii="宋体" w:hAnsi="宋体"/>
          <w:color w:val="auto"/>
          <w:highlight w:val="none"/>
        </w:rPr>
        <w:t>3.1响应文件的组成</w:t>
      </w:r>
      <w:r>
        <w:rPr>
          <w:color w:val="auto"/>
          <w:highlight w:val="none"/>
        </w:rPr>
        <w:tab/>
      </w:r>
      <w:r>
        <w:rPr>
          <w:color w:val="auto"/>
          <w:highlight w:val="none"/>
        </w:rPr>
        <w:fldChar w:fldCharType="begin"/>
      </w:r>
      <w:r>
        <w:rPr>
          <w:color w:val="auto"/>
          <w:highlight w:val="none"/>
        </w:rPr>
        <w:instrText xml:space="preserve"> PAGEREF _Toc13724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"_Toc30338" </w:instrText>
      </w:r>
      <w:r>
        <w:rPr>
          <w:color w:val="auto"/>
          <w:highlight w:val="none"/>
        </w:rPr>
        <w:fldChar w:fldCharType="separate"/>
      </w:r>
      <w:r>
        <w:rPr>
          <w:rFonts w:hint="eastAsia" w:ascii="宋体" w:hAnsi="宋体"/>
          <w:color w:val="auto"/>
          <w:highlight w:val="none"/>
        </w:rPr>
        <w:t>3.2 报价要求</w:t>
      </w:r>
      <w:r>
        <w:rPr>
          <w:color w:val="auto"/>
          <w:highlight w:val="none"/>
        </w:rPr>
        <w:tab/>
      </w:r>
      <w:r>
        <w:rPr>
          <w:color w:val="auto"/>
          <w:highlight w:val="none"/>
        </w:rPr>
        <w:fldChar w:fldCharType="begin"/>
      </w:r>
      <w:r>
        <w:rPr>
          <w:color w:val="auto"/>
          <w:highlight w:val="none"/>
        </w:rPr>
        <w:instrText xml:space="preserve"> PAGEREF _Toc30338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"_Toc21745" </w:instrText>
      </w:r>
      <w:r>
        <w:rPr>
          <w:color w:val="auto"/>
          <w:highlight w:val="none"/>
        </w:rPr>
        <w:fldChar w:fldCharType="separate"/>
      </w:r>
      <w:r>
        <w:rPr>
          <w:rFonts w:hint="eastAsia" w:ascii="宋体" w:hAnsi="宋体"/>
          <w:color w:val="auto"/>
          <w:highlight w:val="none"/>
        </w:rPr>
        <w:t>3.3 响应文件有效期</w:t>
      </w:r>
      <w:r>
        <w:rPr>
          <w:color w:val="auto"/>
          <w:highlight w:val="none"/>
        </w:rPr>
        <w:tab/>
      </w:r>
      <w:r>
        <w:rPr>
          <w:color w:val="auto"/>
          <w:highlight w:val="none"/>
        </w:rPr>
        <w:fldChar w:fldCharType="begin"/>
      </w:r>
      <w:r>
        <w:rPr>
          <w:color w:val="auto"/>
          <w:highlight w:val="none"/>
        </w:rPr>
        <w:instrText xml:space="preserve"> PAGEREF _Toc21745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"_Toc690" </w:instrText>
      </w:r>
      <w:r>
        <w:rPr>
          <w:color w:val="auto"/>
          <w:highlight w:val="none"/>
        </w:rPr>
        <w:fldChar w:fldCharType="separate"/>
      </w:r>
      <w:r>
        <w:rPr>
          <w:rFonts w:hint="eastAsia" w:ascii="宋体" w:hAnsi="宋体"/>
          <w:color w:val="auto"/>
          <w:highlight w:val="none"/>
        </w:rPr>
        <w:t>3.4 响应</w:t>
      </w:r>
      <w:r>
        <w:rPr>
          <w:rFonts w:ascii="宋体" w:hAnsi="宋体"/>
          <w:color w:val="auto"/>
          <w:highlight w:val="none"/>
        </w:rPr>
        <w:t>文件的式样和签署</w:t>
      </w:r>
      <w:r>
        <w:rPr>
          <w:color w:val="auto"/>
          <w:highlight w:val="none"/>
        </w:rPr>
        <w:tab/>
      </w:r>
      <w:r>
        <w:rPr>
          <w:color w:val="auto"/>
          <w:highlight w:val="none"/>
        </w:rPr>
        <w:fldChar w:fldCharType="begin"/>
      </w:r>
      <w:r>
        <w:rPr>
          <w:color w:val="auto"/>
          <w:highlight w:val="none"/>
        </w:rPr>
        <w:instrText xml:space="preserve"> PAGEREF _Toc690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"_Toc22770" </w:instrText>
      </w:r>
      <w:r>
        <w:rPr>
          <w:color w:val="auto"/>
          <w:highlight w:val="none"/>
        </w:rPr>
        <w:fldChar w:fldCharType="separate"/>
      </w:r>
      <w:r>
        <w:rPr>
          <w:rFonts w:hint="eastAsia" w:ascii="宋体" w:hAnsi="宋体"/>
          <w:color w:val="auto"/>
          <w:highlight w:val="none"/>
        </w:rPr>
        <w:t>3.5 响应</w:t>
      </w:r>
      <w:r>
        <w:rPr>
          <w:rFonts w:ascii="宋体" w:hAnsi="宋体"/>
          <w:color w:val="auto"/>
          <w:highlight w:val="none"/>
        </w:rPr>
        <w:t>文件的</w:t>
      </w:r>
      <w:r>
        <w:rPr>
          <w:rFonts w:hint="eastAsia" w:ascii="宋体" w:hAnsi="宋体"/>
          <w:color w:val="auto"/>
          <w:highlight w:val="none"/>
        </w:rPr>
        <w:t>密封</w:t>
      </w:r>
      <w:r>
        <w:rPr>
          <w:color w:val="auto"/>
          <w:highlight w:val="none"/>
        </w:rPr>
        <w:tab/>
      </w:r>
      <w:r>
        <w:rPr>
          <w:color w:val="auto"/>
          <w:highlight w:val="none"/>
        </w:rPr>
        <w:fldChar w:fldCharType="begin"/>
      </w:r>
      <w:r>
        <w:rPr>
          <w:color w:val="auto"/>
          <w:highlight w:val="none"/>
        </w:rPr>
        <w:instrText xml:space="preserve"> PAGEREF _Toc22770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"_Toc18329" </w:instrText>
      </w:r>
      <w:r>
        <w:rPr>
          <w:color w:val="auto"/>
          <w:highlight w:val="none"/>
        </w:rPr>
        <w:fldChar w:fldCharType="separate"/>
      </w:r>
      <w:r>
        <w:rPr>
          <w:rFonts w:hint="eastAsia" w:ascii="宋体" w:hAnsi="宋体"/>
          <w:color w:val="auto"/>
          <w:highlight w:val="none"/>
        </w:rPr>
        <w:t>3.6 响应文件的递交</w:t>
      </w:r>
      <w:r>
        <w:rPr>
          <w:color w:val="auto"/>
          <w:highlight w:val="none"/>
        </w:rPr>
        <w:tab/>
      </w:r>
      <w:r>
        <w:rPr>
          <w:color w:val="auto"/>
          <w:highlight w:val="none"/>
        </w:rPr>
        <w:fldChar w:fldCharType="begin"/>
      </w:r>
      <w:r>
        <w:rPr>
          <w:color w:val="auto"/>
          <w:highlight w:val="none"/>
        </w:rPr>
        <w:instrText xml:space="preserve"> PAGEREF _Toc18329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"_Toc14240" </w:instrText>
      </w:r>
      <w:r>
        <w:rPr>
          <w:color w:val="auto"/>
          <w:highlight w:val="none"/>
        </w:rPr>
        <w:fldChar w:fldCharType="separate"/>
      </w:r>
      <w:r>
        <w:rPr>
          <w:rFonts w:hint="eastAsia" w:ascii="宋体" w:hAnsi="宋体"/>
          <w:color w:val="auto"/>
          <w:szCs w:val="28"/>
          <w:highlight w:val="none"/>
        </w:rPr>
        <w:t>4响应文件的评审</w:t>
      </w:r>
      <w:r>
        <w:rPr>
          <w:color w:val="auto"/>
          <w:highlight w:val="none"/>
        </w:rPr>
        <w:tab/>
      </w:r>
      <w:r>
        <w:rPr>
          <w:color w:val="auto"/>
          <w:highlight w:val="none"/>
        </w:rPr>
        <w:fldChar w:fldCharType="begin"/>
      </w:r>
      <w:r>
        <w:rPr>
          <w:color w:val="auto"/>
          <w:highlight w:val="none"/>
        </w:rPr>
        <w:instrText xml:space="preserve"> PAGEREF _Toc14240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"_Toc17155" </w:instrText>
      </w:r>
      <w:r>
        <w:rPr>
          <w:color w:val="auto"/>
          <w:highlight w:val="none"/>
        </w:rPr>
        <w:fldChar w:fldCharType="separate"/>
      </w:r>
      <w:r>
        <w:rPr>
          <w:rFonts w:hint="eastAsia" w:ascii="宋体" w:hAnsi="宋体"/>
          <w:color w:val="auto"/>
          <w:highlight w:val="none"/>
        </w:rPr>
        <w:t>4.1</w:t>
      </w:r>
      <w:r>
        <w:rPr>
          <w:rFonts w:ascii="宋体" w:hAnsi="宋体"/>
          <w:color w:val="auto"/>
          <w:highlight w:val="none"/>
        </w:rPr>
        <w:t>．</w:t>
      </w:r>
      <w:r>
        <w:rPr>
          <w:rFonts w:hint="eastAsia" w:ascii="宋体" w:hAnsi="宋体"/>
          <w:color w:val="auto"/>
          <w:highlight w:val="none"/>
        </w:rPr>
        <w:t xml:space="preserve"> 响应文件的开启</w:t>
      </w:r>
      <w:r>
        <w:rPr>
          <w:color w:val="auto"/>
          <w:highlight w:val="none"/>
        </w:rPr>
        <w:tab/>
      </w:r>
      <w:r>
        <w:rPr>
          <w:color w:val="auto"/>
          <w:highlight w:val="none"/>
        </w:rPr>
        <w:fldChar w:fldCharType="begin"/>
      </w:r>
      <w:r>
        <w:rPr>
          <w:color w:val="auto"/>
          <w:highlight w:val="none"/>
        </w:rPr>
        <w:instrText xml:space="preserve"> PAGEREF _Toc17155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"_Toc8225" </w:instrText>
      </w:r>
      <w:r>
        <w:rPr>
          <w:color w:val="auto"/>
          <w:highlight w:val="none"/>
        </w:rPr>
        <w:fldChar w:fldCharType="separate"/>
      </w:r>
      <w:r>
        <w:rPr>
          <w:rFonts w:hint="eastAsia" w:ascii="宋体" w:hAnsi="宋体"/>
          <w:color w:val="auto"/>
          <w:highlight w:val="none"/>
        </w:rPr>
        <w:t>4.2评审办法</w:t>
      </w:r>
      <w:r>
        <w:rPr>
          <w:color w:val="auto"/>
          <w:highlight w:val="none"/>
        </w:rPr>
        <w:tab/>
      </w:r>
      <w:r>
        <w:rPr>
          <w:color w:val="auto"/>
          <w:highlight w:val="none"/>
        </w:rPr>
        <w:fldChar w:fldCharType="begin"/>
      </w:r>
      <w:r>
        <w:rPr>
          <w:color w:val="auto"/>
          <w:highlight w:val="none"/>
        </w:rPr>
        <w:instrText xml:space="preserve"> PAGEREF _Toc8225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"_Toc5606" </w:instrText>
      </w:r>
      <w:r>
        <w:rPr>
          <w:color w:val="auto"/>
          <w:highlight w:val="none"/>
        </w:rPr>
        <w:fldChar w:fldCharType="separate"/>
      </w:r>
      <w:r>
        <w:rPr>
          <w:rFonts w:hint="eastAsia" w:ascii="宋体" w:hAnsi="宋体"/>
          <w:color w:val="auto"/>
          <w:szCs w:val="28"/>
          <w:highlight w:val="none"/>
        </w:rPr>
        <w:t>5合同授予</w:t>
      </w:r>
      <w:r>
        <w:rPr>
          <w:color w:val="auto"/>
          <w:highlight w:val="none"/>
        </w:rPr>
        <w:tab/>
      </w:r>
      <w:r>
        <w:rPr>
          <w:color w:val="auto"/>
          <w:highlight w:val="none"/>
        </w:rPr>
        <w:fldChar w:fldCharType="begin"/>
      </w:r>
      <w:r>
        <w:rPr>
          <w:color w:val="auto"/>
          <w:highlight w:val="none"/>
        </w:rPr>
        <w:instrText xml:space="preserve"> PAGEREF _Toc5606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"_Toc11373" </w:instrText>
      </w:r>
      <w:r>
        <w:rPr>
          <w:color w:val="auto"/>
          <w:highlight w:val="none"/>
        </w:rPr>
        <w:fldChar w:fldCharType="separate"/>
      </w:r>
      <w:r>
        <w:rPr>
          <w:rFonts w:hint="eastAsia" w:ascii="宋体" w:hAnsi="宋体"/>
          <w:color w:val="auto"/>
          <w:highlight w:val="none"/>
        </w:rPr>
        <w:t>5.1成交方式</w:t>
      </w:r>
      <w:r>
        <w:rPr>
          <w:color w:val="auto"/>
          <w:highlight w:val="none"/>
        </w:rPr>
        <w:tab/>
      </w:r>
      <w:r>
        <w:rPr>
          <w:color w:val="auto"/>
          <w:highlight w:val="none"/>
        </w:rPr>
        <w:fldChar w:fldCharType="begin"/>
      </w:r>
      <w:r>
        <w:rPr>
          <w:color w:val="auto"/>
          <w:highlight w:val="none"/>
        </w:rPr>
        <w:instrText xml:space="preserve"> PAGEREF _Toc11373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"_Toc25542" </w:instrText>
      </w:r>
      <w:r>
        <w:rPr>
          <w:color w:val="auto"/>
          <w:highlight w:val="none"/>
        </w:rPr>
        <w:fldChar w:fldCharType="separate"/>
      </w:r>
      <w:r>
        <w:rPr>
          <w:rFonts w:hint="eastAsia" w:ascii="宋体" w:hAnsi="宋体"/>
          <w:color w:val="auto"/>
          <w:highlight w:val="none"/>
        </w:rPr>
        <w:t>5.2成交通知</w:t>
      </w:r>
      <w:r>
        <w:rPr>
          <w:color w:val="auto"/>
          <w:highlight w:val="none"/>
        </w:rPr>
        <w:tab/>
      </w:r>
      <w:r>
        <w:rPr>
          <w:color w:val="auto"/>
          <w:highlight w:val="none"/>
        </w:rPr>
        <w:fldChar w:fldCharType="begin"/>
      </w:r>
      <w:r>
        <w:rPr>
          <w:color w:val="auto"/>
          <w:highlight w:val="none"/>
        </w:rPr>
        <w:instrText xml:space="preserve"> PAGEREF _Toc25542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"_Toc26016" </w:instrText>
      </w:r>
      <w:r>
        <w:rPr>
          <w:color w:val="auto"/>
          <w:highlight w:val="none"/>
        </w:rPr>
        <w:fldChar w:fldCharType="separate"/>
      </w:r>
      <w:r>
        <w:rPr>
          <w:rFonts w:hint="eastAsia" w:ascii="宋体" w:hAnsi="宋体"/>
          <w:color w:val="auto"/>
          <w:highlight w:val="none"/>
        </w:rPr>
        <w:t>5.4 履约担保</w:t>
      </w:r>
      <w:r>
        <w:rPr>
          <w:color w:val="auto"/>
          <w:highlight w:val="none"/>
        </w:rPr>
        <w:tab/>
      </w:r>
      <w:r>
        <w:rPr>
          <w:color w:val="auto"/>
          <w:highlight w:val="none"/>
        </w:rPr>
        <w:fldChar w:fldCharType="begin"/>
      </w:r>
      <w:r>
        <w:rPr>
          <w:color w:val="auto"/>
          <w:highlight w:val="none"/>
        </w:rPr>
        <w:instrText xml:space="preserve"> PAGEREF _Toc26016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"_Toc24147" </w:instrText>
      </w:r>
      <w:r>
        <w:rPr>
          <w:color w:val="auto"/>
          <w:highlight w:val="none"/>
        </w:rPr>
        <w:fldChar w:fldCharType="separate"/>
      </w:r>
      <w:r>
        <w:rPr>
          <w:rFonts w:hint="eastAsia" w:ascii="宋体" w:hAnsi="宋体"/>
          <w:color w:val="auto"/>
          <w:highlight w:val="none"/>
        </w:rPr>
        <w:t>5.4合同的签订</w:t>
      </w:r>
      <w:r>
        <w:rPr>
          <w:color w:val="auto"/>
          <w:highlight w:val="none"/>
        </w:rPr>
        <w:tab/>
      </w:r>
      <w:r>
        <w:rPr>
          <w:color w:val="auto"/>
          <w:highlight w:val="none"/>
        </w:rPr>
        <w:fldChar w:fldCharType="begin"/>
      </w:r>
      <w:r>
        <w:rPr>
          <w:color w:val="auto"/>
          <w:highlight w:val="none"/>
        </w:rPr>
        <w:instrText xml:space="preserve"> PAGEREF _Toc24147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"_Toc22436" </w:instrText>
      </w:r>
      <w:r>
        <w:rPr>
          <w:color w:val="auto"/>
          <w:highlight w:val="none"/>
        </w:rPr>
        <w:fldChar w:fldCharType="separate"/>
      </w:r>
      <w:r>
        <w:rPr>
          <w:rFonts w:hint="eastAsia" w:ascii="宋体" w:hAnsi="宋体"/>
          <w:color w:val="auto"/>
          <w:szCs w:val="28"/>
          <w:highlight w:val="none"/>
        </w:rPr>
        <w:t>6监督</w:t>
      </w:r>
      <w:r>
        <w:rPr>
          <w:color w:val="auto"/>
          <w:highlight w:val="none"/>
        </w:rPr>
        <w:tab/>
      </w:r>
      <w:r>
        <w:rPr>
          <w:color w:val="auto"/>
          <w:highlight w:val="none"/>
        </w:rPr>
        <w:fldChar w:fldCharType="begin"/>
      </w:r>
      <w:r>
        <w:rPr>
          <w:color w:val="auto"/>
          <w:highlight w:val="none"/>
        </w:rPr>
        <w:instrText xml:space="preserve"> PAGEREF _Toc22436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"_Toc26338" </w:instrText>
      </w:r>
      <w:r>
        <w:rPr>
          <w:color w:val="auto"/>
          <w:highlight w:val="none"/>
        </w:rPr>
        <w:fldChar w:fldCharType="separate"/>
      </w:r>
      <w:r>
        <w:rPr>
          <w:rFonts w:hint="eastAsia" w:ascii="宋体" w:hAnsi="宋体"/>
          <w:color w:val="auto"/>
          <w:szCs w:val="28"/>
          <w:highlight w:val="none"/>
        </w:rPr>
        <w:t>附件一：成交通知书</w:t>
      </w:r>
      <w:r>
        <w:rPr>
          <w:color w:val="auto"/>
          <w:highlight w:val="none"/>
        </w:rPr>
        <w:tab/>
      </w:r>
      <w:r>
        <w:rPr>
          <w:color w:val="auto"/>
          <w:highlight w:val="none"/>
        </w:rPr>
        <w:fldChar w:fldCharType="begin"/>
      </w:r>
      <w:r>
        <w:rPr>
          <w:color w:val="auto"/>
          <w:highlight w:val="none"/>
        </w:rPr>
        <w:instrText xml:space="preserve"> PAGEREF _Toc26338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45"/>
        <w:tabs>
          <w:tab w:val="right" w:leader="dot" w:pos="8561"/>
        </w:tabs>
        <w:rPr>
          <w:color w:val="auto"/>
          <w:highlight w:val="none"/>
        </w:rPr>
      </w:pPr>
      <w:r>
        <w:rPr>
          <w:color w:val="auto"/>
          <w:highlight w:val="none"/>
        </w:rPr>
        <w:fldChar w:fldCharType="begin"/>
      </w:r>
      <w:r>
        <w:rPr>
          <w:color w:val="auto"/>
          <w:highlight w:val="none"/>
        </w:rPr>
        <w:instrText xml:space="preserve"> HYPERLINK \l "_Toc5960" </w:instrText>
      </w:r>
      <w:r>
        <w:rPr>
          <w:color w:val="auto"/>
          <w:highlight w:val="none"/>
        </w:rPr>
        <w:fldChar w:fldCharType="separate"/>
      </w:r>
      <w:r>
        <w:rPr>
          <w:rFonts w:hint="eastAsia"/>
          <w:color w:val="auto"/>
          <w:kern w:val="44"/>
          <w:szCs w:val="48"/>
          <w:highlight w:val="none"/>
        </w:rPr>
        <w:t>第三章 主要合同条款及格式</w:t>
      </w:r>
      <w:r>
        <w:rPr>
          <w:color w:val="auto"/>
          <w:highlight w:val="none"/>
        </w:rPr>
        <w:tab/>
      </w:r>
      <w:r>
        <w:rPr>
          <w:color w:val="auto"/>
          <w:highlight w:val="none"/>
        </w:rPr>
        <w:fldChar w:fldCharType="begin"/>
      </w:r>
      <w:r>
        <w:rPr>
          <w:color w:val="auto"/>
          <w:highlight w:val="none"/>
        </w:rPr>
        <w:instrText xml:space="preserve"> PAGEREF _Toc5960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"_Toc15526" </w:instrText>
      </w:r>
      <w:r>
        <w:rPr>
          <w:color w:val="auto"/>
          <w:highlight w:val="none"/>
        </w:rPr>
        <w:fldChar w:fldCharType="separate"/>
      </w:r>
      <w:r>
        <w:rPr>
          <w:rFonts w:hint="eastAsia" w:ascii="宋体" w:hAnsi="宋体"/>
          <w:color w:val="auto"/>
          <w:szCs w:val="28"/>
          <w:highlight w:val="none"/>
        </w:rPr>
        <w:t>第一节  合同条款</w:t>
      </w:r>
      <w:r>
        <w:rPr>
          <w:color w:val="auto"/>
          <w:highlight w:val="none"/>
        </w:rPr>
        <w:tab/>
      </w:r>
      <w:r>
        <w:rPr>
          <w:color w:val="auto"/>
          <w:highlight w:val="none"/>
        </w:rPr>
        <w:fldChar w:fldCharType="begin"/>
      </w:r>
      <w:r>
        <w:rPr>
          <w:color w:val="auto"/>
          <w:highlight w:val="none"/>
        </w:rPr>
        <w:instrText xml:space="preserve"> PAGEREF _Toc15526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"_Toc30215" </w:instrText>
      </w:r>
      <w:r>
        <w:rPr>
          <w:color w:val="auto"/>
          <w:highlight w:val="none"/>
        </w:rPr>
        <w:fldChar w:fldCharType="separate"/>
      </w:r>
      <w:r>
        <w:rPr>
          <w:rFonts w:hint="eastAsia" w:ascii="宋体" w:hAnsi="宋体"/>
          <w:color w:val="auto"/>
          <w:szCs w:val="28"/>
          <w:highlight w:val="none"/>
        </w:rPr>
        <w:t>1. 一般约定</w:t>
      </w:r>
      <w:r>
        <w:rPr>
          <w:color w:val="auto"/>
          <w:highlight w:val="none"/>
        </w:rPr>
        <w:tab/>
      </w:r>
      <w:r>
        <w:rPr>
          <w:color w:val="auto"/>
          <w:highlight w:val="none"/>
        </w:rPr>
        <w:fldChar w:fldCharType="begin"/>
      </w:r>
      <w:r>
        <w:rPr>
          <w:color w:val="auto"/>
          <w:highlight w:val="none"/>
        </w:rPr>
        <w:instrText xml:space="preserve"> PAGEREF _Toc30215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"_Toc9698" </w:instrText>
      </w:r>
      <w:r>
        <w:rPr>
          <w:color w:val="auto"/>
          <w:highlight w:val="none"/>
        </w:rPr>
        <w:fldChar w:fldCharType="separate"/>
      </w:r>
      <w:r>
        <w:rPr>
          <w:rFonts w:hint="eastAsia" w:ascii="宋体" w:hAnsi="宋体"/>
          <w:color w:val="auto"/>
          <w:highlight w:val="none"/>
        </w:rPr>
        <w:t>1.1 词语定义</w:t>
      </w:r>
      <w:r>
        <w:rPr>
          <w:color w:val="auto"/>
          <w:highlight w:val="none"/>
        </w:rPr>
        <w:tab/>
      </w:r>
      <w:r>
        <w:rPr>
          <w:color w:val="auto"/>
          <w:highlight w:val="none"/>
        </w:rPr>
        <w:fldChar w:fldCharType="begin"/>
      </w:r>
      <w:r>
        <w:rPr>
          <w:color w:val="auto"/>
          <w:highlight w:val="none"/>
        </w:rPr>
        <w:instrText xml:space="preserve"> PAGEREF _Toc9698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"_Toc14601" </w:instrText>
      </w:r>
      <w:r>
        <w:rPr>
          <w:color w:val="auto"/>
          <w:highlight w:val="none"/>
        </w:rPr>
        <w:fldChar w:fldCharType="separate"/>
      </w:r>
      <w:r>
        <w:rPr>
          <w:rFonts w:hint="eastAsia" w:ascii="宋体" w:hAnsi="宋体"/>
          <w:color w:val="auto"/>
          <w:highlight w:val="none"/>
        </w:rPr>
        <w:t>1.2 语言文字</w:t>
      </w:r>
      <w:r>
        <w:rPr>
          <w:color w:val="auto"/>
          <w:highlight w:val="none"/>
        </w:rPr>
        <w:tab/>
      </w:r>
      <w:r>
        <w:rPr>
          <w:color w:val="auto"/>
          <w:highlight w:val="none"/>
        </w:rPr>
        <w:fldChar w:fldCharType="begin"/>
      </w:r>
      <w:r>
        <w:rPr>
          <w:color w:val="auto"/>
          <w:highlight w:val="none"/>
        </w:rPr>
        <w:instrText xml:space="preserve"> PAGEREF _Toc14601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"_Toc13153" </w:instrText>
      </w:r>
      <w:r>
        <w:rPr>
          <w:color w:val="auto"/>
          <w:highlight w:val="none"/>
        </w:rPr>
        <w:fldChar w:fldCharType="separate"/>
      </w:r>
      <w:r>
        <w:rPr>
          <w:rFonts w:hint="eastAsia" w:ascii="宋体" w:hAnsi="宋体"/>
          <w:color w:val="auto"/>
          <w:highlight w:val="none"/>
        </w:rPr>
        <w:t>1.3 法律</w:t>
      </w:r>
      <w:r>
        <w:rPr>
          <w:color w:val="auto"/>
          <w:highlight w:val="none"/>
        </w:rPr>
        <w:tab/>
      </w:r>
      <w:r>
        <w:rPr>
          <w:color w:val="auto"/>
          <w:highlight w:val="none"/>
        </w:rPr>
        <w:fldChar w:fldCharType="begin"/>
      </w:r>
      <w:r>
        <w:rPr>
          <w:color w:val="auto"/>
          <w:highlight w:val="none"/>
        </w:rPr>
        <w:instrText xml:space="preserve"> PAGEREF _Toc13153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"_Toc5409" </w:instrText>
      </w:r>
      <w:r>
        <w:rPr>
          <w:color w:val="auto"/>
          <w:highlight w:val="none"/>
        </w:rPr>
        <w:fldChar w:fldCharType="separate"/>
      </w:r>
      <w:r>
        <w:rPr>
          <w:rFonts w:hint="eastAsia" w:ascii="宋体" w:hAnsi="宋体"/>
          <w:color w:val="auto"/>
          <w:highlight w:val="none"/>
        </w:rPr>
        <w:t>1.4 合同文件的优先顺序</w:t>
      </w:r>
      <w:r>
        <w:rPr>
          <w:color w:val="auto"/>
          <w:highlight w:val="none"/>
        </w:rPr>
        <w:tab/>
      </w:r>
      <w:r>
        <w:rPr>
          <w:color w:val="auto"/>
          <w:highlight w:val="none"/>
        </w:rPr>
        <w:fldChar w:fldCharType="begin"/>
      </w:r>
      <w:r>
        <w:rPr>
          <w:color w:val="auto"/>
          <w:highlight w:val="none"/>
        </w:rPr>
        <w:instrText xml:space="preserve"> PAGEREF _Toc5409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"_Toc30968" </w:instrText>
      </w:r>
      <w:r>
        <w:rPr>
          <w:color w:val="auto"/>
          <w:highlight w:val="none"/>
        </w:rPr>
        <w:fldChar w:fldCharType="separate"/>
      </w:r>
      <w:r>
        <w:rPr>
          <w:rFonts w:hint="eastAsia" w:ascii="宋体" w:hAnsi="宋体"/>
          <w:color w:val="auto"/>
          <w:highlight w:val="none"/>
        </w:rPr>
        <w:t>1.5 合同协议书</w:t>
      </w:r>
      <w:r>
        <w:rPr>
          <w:color w:val="auto"/>
          <w:highlight w:val="none"/>
        </w:rPr>
        <w:tab/>
      </w:r>
      <w:r>
        <w:rPr>
          <w:color w:val="auto"/>
          <w:highlight w:val="none"/>
        </w:rPr>
        <w:fldChar w:fldCharType="begin"/>
      </w:r>
      <w:r>
        <w:rPr>
          <w:color w:val="auto"/>
          <w:highlight w:val="none"/>
        </w:rPr>
        <w:instrText xml:space="preserve"> PAGEREF _Toc30968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olor w:val="auto"/>
          <w:highlight w:val="none"/>
        </w:rPr>
        <w:t>1.6 承包商提供的文件</w:t>
      </w:r>
      <w:r>
        <w:rPr>
          <w:color w:val="auto"/>
          <w:highlight w:val="none"/>
        </w:rPr>
        <w:tab/>
      </w:r>
      <w:r>
        <w:rPr>
          <w:color w:val="auto"/>
          <w:highlight w:val="none"/>
        </w:rPr>
        <w:fldChar w:fldCharType="begin"/>
      </w:r>
      <w:r>
        <w:rPr>
          <w:color w:val="auto"/>
          <w:highlight w:val="none"/>
        </w:rPr>
        <w:instrText xml:space="preserve"> PAGEREF _Toc32732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"_Toc10982" </w:instrText>
      </w:r>
      <w:r>
        <w:rPr>
          <w:color w:val="auto"/>
          <w:highlight w:val="none"/>
        </w:rPr>
        <w:fldChar w:fldCharType="separate"/>
      </w:r>
      <w:r>
        <w:rPr>
          <w:rFonts w:hint="eastAsia" w:ascii="宋体" w:hAnsi="宋体"/>
          <w:color w:val="auto"/>
          <w:highlight w:val="none"/>
        </w:rPr>
        <w:t>1.7 联络</w:t>
      </w:r>
      <w:r>
        <w:rPr>
          <w:color w:val="auto"/>
          <w:highlight w:val="none"/>
        </w:rPr>
        <w:tab/>
      </w:r>
      <w:r>
        <w:rPr>
          <w:color w:val="auto"/>
          <w:highlight w:val="none"/>
        </w:rPr>
        <w:fldChar w:fldCharType="begin"/>
      </w:r>
      <w:r>
        <w:rPr>
          <w:color w:val="auto"/>
          <w:highlight w:val="none"/>
        </w:rPr>
        <w:instrText xml:space="preserve"> PAGEREF _Toc10982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"_Toc9687" </w:instrText>
      </w:r>
      <w:r>
        <w:rPr>
          <w:color w:val="auto"/>
          <w:highlight w:val="none"/>
        </w:rPr>
        <w:fldChar w:fldCharType="separate"/>
      </w:r>
      <w:r>
        <w:rPr>
          <w:rFonts w:hint="eastAsia" w:ascii="宋体" w:hAnsi="宋体"/>
          <w:color w:val="auto"/>
          <w:szCs w:val="28"/>
          <w:highlight w:val="none"/>
        </w:rPr>
        <w:t>2. 采购人义务</w:t>
      </w:r>
      <w:r>
        <w:rPr>
          <w:color w:val="auto"/>
          <w:highlight w:val="none"/>
        </w:rPr>
        <w:tab/>
      </w:r>
      <w:r>
        <w:rPr>
          <w:color w:val="auto"/>
          <w:highlight w:val="none"/>
        </w:rPr>
        <w:fldChar w:fldCharType="begin"/>
      </w:r>
      <w:r>
        <w:rPr>
          <w:color w:val="auto"/>
          <w:highlight w:val="none"/>
        </w:rPr>
        <w:instrText xml:space="preserve"> PAGEREF _Toc9687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"_Toc20290" </w:instrText>
      </w:r>
      <w:r>
        <w:rPr>
          <w:color w:val="auto"/>
          <w:highlight w:val="none"/>
        </w:rPr>
        <w:fldChar w:fldCharType="separate"/>
      </w:r>
      <w:r>
        <w:rPr>
          <w:rFonts w:hint="eastAsia" w:ascii="宋体" w:hAnsi="宋体"/>
          <w:color w:val="auto"/>
          <w:highlight w:val="none"/>
        </w:rPr>
        <w:t>2.1 遵守法律</w:t>
      </w:r>
      <w:r>
        <w:rPr>
          <w:color w:val="auto"/>
          <w:highlight w:val="none"/>
        </w:rPr>
        <w:tab/>
      </w:r>
      <w:r>
        <w:rPr>
          <w:color w:val="auto"/>
          <w:highlight w:val="none"/>
        </w:rPr>
        <w:fldChar w:fldCharType="begin"/>
      </w:r>
      <w:r>
        <w:rPr>
          <w:color w:val="auto"/>
          <w:highlight w:val="none"/>
        </w:rPr>
        <w:instrText xml:space="preserve"> PAGEREF _Toc20290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"_Toc6392" </w:instrText>
      </w:r>
      <w:r>
        <w:rPr>
          <w:color w:val="auto"/>
          <w:highlight w:val="none"/>
        </w:rPr>
        <w:fldChar w:fldCharType="separate"/>
      </w:r>
      <w:r>
        <w:rPr>
          <w:rFonts w:hint="eastAsia" w:ascii="宋体" w:hAnsi="宋体"/>
          <w:color w:val="auto"/>
          <w:highlight w:val="none"/>
        </w:rPr>
        <w:t>2.2 发出开工通知</w:t>
      </w:r>
      <w:r>
        <w:rPr>
          <w:color w:val="auto"/>
          <w:highlight w:val="none"/>
        </w:rPr>
        <w:tab/>
      </w:r>
      <w:r>
        <w:rPr>
          <w:color w:val="auto"/>
          <w:highlight w:val="none"/>
        </w:rPr>
        <w:fldChar w:fldCharType="begin"/>
      </w:r>
      <w:r>
        <w:rPr>
          <w:color w:val="auto"/>
          <w:highlight w:val="none"/>
        </w:rPr>
        <w:instrText xml:space="preserve"> PAGEREF _Toc6392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"_Toc27615" </w:instrText>
      </w:r>
      <w:r>
        <w:rPr>
          <w:color w:val="auto"/>
          <w:highlight w:val="none"/>
        </w:rPr>
        <w:fldChar w:fldCharType="separate"/>
      </w:r>
      <w:r>
        <w:rPr>
          <w:rFonts w:hint="eastAsia" w:ascii="宋体" w:hAnsi="宋体"/>
          <w:color w:val="auto"/>
          <w:highlight w:val="none"/>
        </w:rPr>
        <w:t>2.3 提供施工场地</w:t>
      </w:r>
      <w:r>
        <w:rPr>
          <w:color w:val="auto"/>
          <w:highlight w:val="none"/>
        </w:rPr>
        <w:tab/>
      </w:r>
      <w:r>
        <w:rPr>
          <w:color w:val="auto"/>
          <w:highlight w:val="none"/>
        </w:rPr>
        <w:fldChar w:fldCharType="begin"/>
      </w:r>
      <w:r>
        <w:rPr>
          <w:color w:val="auto"/>
          <w:highlight w:val="none"/>
        </w:rPr>
        <w:instrText xml:space="preserve"> PAGEREF _Toc27615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"_Toc7488" </w:instrText>
      </w:r>
      <w:r>
        <w:rPr>
          <w:color w:val="auto"/>
          <w:highlight w:val="none"/>
        </w:rPr>
        <w:fldChar w:fldCharType="separate"/>
      </w:r>
      <w:r>
        <w:rPr>
          <w:rFonts w:hint="eastAsia" w:ascii="宋体" w:hAnsi="宋体"/>
          <w:color w:val="auto"/>
          <w:highlight w:val="none"/>
        </w:rPr>
        <w:t>2.4 协助承包商办理证件和批件</w:t>
      </w:r>
      <w:r>
        <w:rPr>
          <w:color w:val="auto"/>
          <w:highlight w:val="none"/>
        </w:rPr>
        <w:tab/>
      </w:r>
      <w:r>
        <w:rPr>
          <w:color w:val="auto"/>
          <w:highlight w:val="none"/>
        </w:rPr>
        <w:fldChar w:fldCharType="begin"/>
      </w:r>
      <w:r>
        <w:rPr>
          <w:color w:val="auto"/>
          <w:highlight w:val="none"/>
        </w:rPr>
        <w:instrText xml:space="preserve"> PAGEREF _Toc7488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"_Toc7245" </w:instrText>
      </w:r>
      <w:r>
        <w:rPr>
          <w:color w:val="auto"/>
          <w:highlight w:val="none"/>
        </w:rPr>
        <w:fldChar w:fldCharType="separate"/>
      </w:r>
      <w:r>
        <w:rPr>
          <w:rFonts w:hint="eastAsia" w:ascii="宋体" w:hAnsi="宋体"/>
          <w:color w:val="auto"/>
          <w:highlight w:val="none"/>
        </w:rPr>
        <w:t>2.5 支付合同价款</w:t>
      </w:r>
      <w:r>
        <w:rPr>
          <w:color w:val="auto"/>
          <w:highlight w:val="none"/>
        </w:rPr>
        <w:tab/>
      </w:r>
      <w:r>
        <w:rPr>
          <w:color w:val="auto"/>
          <w:highlight w:val="none"/>
        </w:rPr>
        <w:fldChar w:fldCharType="begin"/>
      </w:r>
      <w:r>
        <w:rPr>
          <w:color w:val="auto"/>
          <w:highlight w:val="none"/>
        </w:rPr>
        <w:instrText xml:space="preserve"> PAGEREF _Toc7245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"_Toc29001" </w:instrText>
      </w:r>
      <w:r>
        <w:rPr>
          <w:color w:val="auto"/>
          <w:highlight w:val="none"/>
        </w:rPr>
        <w:fldChar w:fldCharType="separate"/>
      </w:r>
      <w:r>
        <w:rPr>
          <w:rFonts w:hint="eastAsia" w:ascii="宋体" w:hAnsi="宋体"/>
          <w:color w:val="auto"/>
          <w:highlight w:val="none"/>
        </w:rPr>
        <w:t>2.6 组织竣工验收</w:t>
      </w:r>
      <w:r>
        <w:rPr>
          <w:color w:val="auto"/>
          <w:highlight w:val="none"/>
        </w:rPr>
        <w:tab/>
      </w:r>
      <w:r>
        <w:rPr>
          <w:color w:val="auto"/>
          <w:highlight w:val="none"/>
        </w:rPr>
        <w:fldChar w:fldCharType="begin"/>
      </w:r>
      <w:r>
        <w:rPr>
          <w:color w:val="auto"/>
          <w:highlight w:val="none"/>
        </w:rPr>
        <w:instrText xml:space="preserve"> PAGEREF _Toc29001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"_Toc6365" </w:instrText>
      </w:r>
      <w:r>
        <w:rPr>
          <w:color w:val="auto"/>
          <w:highlight w:val="none"/>
        </w:rPr>
        <w:fldChar w:fldCharType="separate"/>
      </w:r>
      <w:r>
        <w:rPr>
          <w:rFonts w:hint="eastAsia" w:ascii="宋体" w:hAnsi="宋体"/>
          <w:color w:val="auto"/>
          <w:highlight w:val="none"/>
        </w:rPr>
        <w:t>2.7 其他义务</w:t>
      </w:r>
      <w:r>
        <w:rPr>
          <w:color w:val="auto"/>
          <w:highlight w:val="none"/>
        </w:rPr>
        <w:tab/>
      </w:r>
      <w:r>
        <w:rPr>
          <w:color w:val="auto"/>
          <w:highlight w:val="none"/>
        </w:rPr>
        <w:fldChar w:fldCharType="begin"/>
      </w:r>
      <w:r>
        <w:rPr>
          <w:color w:val="auto"/>
          <w:highlight w:val="none"/>
        </w:rPr>
        <w:instrText xml:space="preserve"> PAGEREF _Toc6365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"_Toc6071" </w:instrText>
      </w:r>
      <w:r>
        <w:rPr>
          <w:color w:val="auto"/>
          <w:highlight w:val="none"/>
        </w:rPr>
        <w:fldChar w:fldCharType="separate"/>
      </w:r>
      <w:r>
        <w:rPr>
          <w:rFonts w:hint="eastAsia" w:ascii="宋体" w:hAnsi="宋体"/>
          <w:color w:val="auto"/>
          <w:szCs w:val="28"/>
          <w:highlight w:val="none"/>
        </w:rPr>
        <w:t>3. 承包商</w:t>
      </w:r>
      <w:r>
        <w:rPr>
          <w:color w:val="auto"/>
          <w:highlight w:val="none"/>
        </w:rPr>
        <w:tab/>
      </w:r>
      <w:r>
        <w:rPr>
          <w:color w:val="auto"/>
          <w:highlight w:val="none"/>
        </w:rPr>
        <w:fldChar w:fldCharType="begin"/>
      </w:r>
      <w:r>
        <w:rPr>
          <w:color w:val="auto"/>
          <w:highlight w:val="none"/>
        </w:rPr>
        <w:instrText xml:space="preserve"> PAGEREF _Toc6071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"_Toc16088" </w:instrText>
      </w:r>
      <w:r>
        <w:rPr>
          <w:color w:val="auto"/>
          <w:highlight w:val="none"/>
        </w:rPr>
        <w:fldChar w:fldCharType="separate"/>
      </w:r>
      <w:r>
        <w:rPr>
          <w:rFonts w:hint="eastAsia" w:ascii="宋体" w:hAnsi="宋体"/>
          <w:color w:val="auto"/>
          <w:highlight w:val="none"/>
        </w:rPr>
        <w:t>3.1 承包商的一般义务</w:t>
      </w:r>
      <w:r>
        <w:rPr>
          <w:color w:val="auto"/>
          <w:highlight w:val="none"/>
        </w:rPr>
        <w:tab/>
      </w:r>
      <w:r>
        <w:rPr>
          <w:color w:val="auto"/>
          <w:highlight w:val="none"/>
        </w:rPr>
        <w:fldChar w:fldCharType="begin"/>
      </w:r>
      <w:r>
        <w:rPr>
          <w:color w:val="auto"/>
          <w:highlight w:val="none"/>
        </w:rPr>
        <w:instrText xml:space="preserve"> PAGEREF _Toc16088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"_Toc4382" </w:instrText>
      </w:r>
      <w:r>
        <w:rPr>
          <w:color w:val="auto"/>
          <w:highlight w:val="none"/>
        </w:rPr>
        <w:fldChar w:fldCharType="separate"/>
      </w:r>
      <w:r>
        <w:rPr>
          <w:rFonts w:hint="eastAsia" w:ascii="宋体" w:hAnsi="宋体"/>
          <w:color w:val="auto"/>
          <w:highlight w:val="none"/>
        </w:rPr>
        <w:t>3.2 履约担保</w:t>
      </w:r>
      <w:r>
        <w:rPr>
          <w:color w:val="auto"/>
          <w:highlight w:val="none"/>
        </w:rPr>
        <w:tab/>
      </w:r>
      <w:r>
        <w:rPr>
          <w:color w:val="auto"/>
          <w:highlight w:val="none"/>
        </w:rPr>
        <w:fldChar w:fldCharType="begin"/>
      </w:r>
      <w:r>
        <w:rPr>
          <w:color w:val="auto"/>
          <w:highlight w:val="none"/>
        </w:rPr>
        <w:instrText xml:space="preserve"> PAGEREF _Toc4382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"_Toc27455" </w:instrText>
      </w:r>
      <w:r>
        <w:rPr>
          <w:color w:val="auto"/>
          <w:highlight w:val="none"/>
        </w:rPr>
        <w:fldChar w:fldCharType="separate"/>
      </w:r>
      <w:r>
        <w:rPr>
          <w:rFonts w:hint="eastAsia" w:ascii="宋体" w:hAnsi="宋体"/>
          <w:color w:val="auto"/>
          <w:highlight w:val="none"/>
        </w:rPr>
        <w:t>3.3 承包商</w:t>
      </w:r>
      <w:r>
        <w:rPr>
          <w:rFonts w:hint="eastAsia" w:ascii="宋体" w:hAnsi="宋体"/>
          <w:color w:val="auto"/>
          <w:highlight w:val="none"/>
          <w:lang w:eastAsia="zh-CN"/>
        </w:rPr>
        <w:t>施工负责人</w:t>
      </w:r>
      <w:r>
        <w:rPr>
          <w:color w:val="auto"/>
          <w:highlight w:val="none"/>
        </w:rPr>
        <w:tab/>
      </w:r>
      <w:r>
        <w:rPr>
          <w:color w:val="auto"/>
          <w:highlight w:val="none"/>
        </w:rPr>
        <w:fldChar w:fldCharType="begin"/>
      </w:r>
      <w:r>
        <w:rPr>
          <w:color w:val="auto"/>
          <w:highlight w:val="none"/>
        </w:rPr>
        <w:instrText xml:space="preserve"> PAGEREF _Toc27455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"_Toc12846" </w:instrText>
      </w:r>
      <w:r>
        <w:rPr>
          <w:color w:val="auto"/>
          <w:highlight w:val="none"/>
        </w:rPr>
        <w:fldChar w:fldCharType="separate"/>
      </w:r>
      <w:r>
        <w:rPr>
          <w:rFonts w:hint="eastAsia" w:ascii="宋体" w:hAnsi="宋体"/>
          <w:color w:val="auto"/>
          <w:highlight w:val="none"/>
        </w:rPr>
        <w:t>3.4 工程价款应专款专用</w:t>
      </w:r>
      <w:r>
        <w:rPr>
          <w:color w:val="auto"/>
          <w:highlight w:val="none"/>
        </w:rPr>
        <w:tab/>
      </w:r>
      <w:r>
        <w:rPr>
          <w:color w:val="auto"/>
          <w:highlight w:val="none"/>
        </w:rPr>
        <w:fldChar w:fldCharType="begin"/>
      </w:r>
      <w:r>
        <w:rPr>
          <w:color w:val="auto"/>
          <w:highlight w:val="none"/>
        </w:rPr>
        <w:instrText xml:space="preserve"> PAGEREF _Toc12846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"_Toc17626" </w:instrText>
      </w:r>
      <w:r>
        <w:rPr>
          <w:color w:val="auto"/>
          <w:highlight w:val="none"/>
        </w:rPr>
        <w:fldChar w:fldCharType="separate"/>
      </w:r>
      <w:r>
        <w:rPr>
          <w:rFonts w:hint="eastAsia" w:ascii="宋体" w:hAnsi="宋体"/>
          <w:color w:val="auto"/>
          <w:highlight w:val="none"/>
        </w:rPr>
        <w:t>3.5 不利物质条件</w:t>
      </w:r>
      <w:r>
        <w:rPr>
          <w:color w:val="auto"/>
          <w:highlight w:val="none"/>
        </w:rPr>
        <w:tab/>
      </w:r>
      <w:r>
        <w:rPr>
          <w:color w:val="auto"/>
          <w:highlight w:val="none"/>
        </w:rPr>
        <w:fldChar w:fldCharType="begin"/>
      </w:r>
      <w:r>
        <w:rPr>
          <w:color w:val="auto"/>
          <w:highlight w:val="none"/>
        </w:rPr>
        <w:instrText xml:space="preserve"> PAGEREF _Toc17626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"_Toc24610" </w:instrText>
      </w:r>
      <w:r>
        <w:rPr>
          <w:color w:val="auto"/>
          <w:highlight w:val="none"/>
        </w:rPr>
        <w:fldChar w:fldCharType="separate"/>
      </w:r>
      <w:r>
        <w:rPr>
          <w:rFonts w:hint="eastAsia" w:ascii="宋体" w:hAnsi="宋体"/>
          <w:color w:val="auto"/>
          <w:highlight w:val="none"/>
        </w:rPr>
        <w:t>3.6 承包商的施工安全责任</w:t>
      </w:r>
      <w:r>
        <w:rPr>
          <w:color w:val="auto"/>
          <w:highlight w:val="none"/>
        </w:rPr>
        <w:tab/>
      </w:r>
      <w:r>
        <w:rPr>
          <w:color w:val="auto"/>
          <w:highlight w:val="none"/>
        </w:rPr>
        <w:fldChar w:fldCharType="begin"/>
      </w:r>
      <w:r>
        <w:rPr>
          <w:color w:val="auto"/>
          <w:highlight w:val="none"/>
        </w:rPr>
        <w:instrText xml:space="preserve"> PAGEREF _Toc24610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"_Toc14166" </w:instrText>
      </w:r>
      <w:r>
        <w:rPr>
          <w:color w:val="auto"/>
          <w:highlight w:val="none"/>
        </w:rPr>
        <w:fldChar w:fldCharType="separate"/>
      </w:r>
      <w:r>
        <w:rPr>
          <w:rFonts w:hint="eastAsia" w:ascii="宋体" w:hAnsi="宋体"/>
          <w:color w:val="auto"/>
          <w:szCs w:val="28"/>
          <w:highlight w:val="none"/>
        </w:rPr>
        <w:t>4. 工期</w:t>
      </w:r>
      <w:r>
        <w:rPr>
          <w:color w:val="auto"/>
          <w:highlight w:val="none"/>
        </w:rPr>
        <w:tab/>
      </w:r>
      <w:r>
        <w:rPr>
          <w:color w:val="auto"/>
          <w:highlight w:val="none"/>
        </w:rPr>
        <w:fldChar w:fldCharType="begin"/>
      </w:r>
      <w:r>
        <w:rPr>
          <w:color w:val="auto"/>
          <w:highlight w:val="none"/>
        </w:rPr>
        <w:instrText xml:space="preserve"> PAGEREF _Toc14166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"_Toc3525" </w:instrText>
      </w:r>
      <w:r>
        <w:rPr>
          <w:color w:val="auto"/>
          <w:highlight w:val="none"/>
        </w:rPr>
        <w:fldChar w:fldCharType="separate"/>
      </w:r>
      <w:r>
        <w:rPr>
          <w:rFonts w:hint="eastAsia" w:ascii="宋体" w:hAnsi="宋体"/>
          <w:color w:val="auto"/>
          <w:highlight w:val="none"/>
        </w:rPr>
        <w:t>4.1 进度计划</w:t>
      </w:r>
      <w:r>
        <w:rPr>
          <w:color w:val="auto"/>
          <w:highlight w:val="none"/>
        </w:rPr>
        <w:tab/>
      </w:r>
      <w:r>
        <w:rPr>
          <w:color w:val="auto"/>
          <w:highlight w:val="none"/>
        </w:rPr>
        <w:fldChar w:fldCharType="begin"/>
      </w:r>
      <w:r>
        <w:rPr>
          <w:color w:val="auto"/>
          <w:highlight w:val="none"/>
        </w:rPr>
        <w:instrText xml:space="preserve"> PAGEREF _Toc3525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"_Toc12486" </w:instrText>
      </w:r>
      <w:r>
        <w:rPr>
          <w:color w:val="auto"/>
          <w:highlight w:val="none"/>
        </w:rPr>
        <w:fldChar w:fldCharType="separate"/>
      </w:r>
      <w:r>
        <w:rPr>
          <w:rFonts w:hint="eastAsia" w:ascii="宋体" w:hAnsi="宋体"/>
          <w:color w:val="auto"/>
          <w:highlight w:val="none"/>
        </w:rPr>
        <w:t>4.2 工程实施</w:t>
      </w:r>
      <w:r>
        <w:rPr>
          <w:color w:val="auto"/>
          <w:highlight w:val="none"/>
        </w:rPr>
        <w:tab/>
      </w:r>
      <w:r>
        <w:rPr>
          <w:color w:val="auto"/>
          <w:highlight w:val="none"/>
        </w:rPr>
        <w:fldChar w:fldCharType="begin"/>
      </w:r>
      <w:r>
        <w:rPr>
          <w:color w:val="auto"/>
          <w:highlight w:val="none"/>
        </w:rPr>
        <w:instrText xml:space="preserve"> PAGEREF _Toc12486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"_Toc25997" </w:instrText>
      </w:r>
      <w:r>
        <w:rPr>
          <w:color w:val="auto"/>
          <w:highlight w:val="none"/>
        </w:rPr>
        <w:fldChar w:fldCharType="separate"/>
      </w:r>
      <w:r>
        <w:rPr>
          <w:rFonts w:hint="eastAsia" w:ascii="宋体" w:hAnsi="宋体"/>
          <w:color w:val="auto"/>
          <w:highlight w:val="none"/>
        </w:rPr>
        <w:t>4.3 采购人引起的工期延误</w:t>
      </w:r>
      <w:r>
        <w:rPr>
          <w:color w:val="auto"/>
          <w:highlight w:val="none"/>
        </w:rPr>
        <w:tab/>
      </w:r>
      <w:r>
        <w:rPr>
          <w:color w:val="auto"/>
          <w:highlight w:val="none"/>
        </w:rPr>
        <w:fldChar w:fldCharType="begin"/>
      </w:r>
      <w:r>
        <w:rPr>
          <w:color w:val="auto"/>
          <w:highlight w:val="none"/>
        </w:rPr>
        <w:instrText xml:space="preserve"> PAGEREF _Toc25997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"_Toc31687" </w:instrText>
      </w:r>
      <w:r>
        <w:rPr>
          <w:color w:val="auto"/>
          <w:highlight w:val="none"/>
        </w:rPr>
        <w:fldChar w:fldCharType="separate"/>
      </w:r>
      <w:r>
        <w:rPr>
          <w:rFonts w:hint="eastAsia" w:ascii="宋体" w:hAnsi="宋体"/>
          <w:color w:val="auto"/>
          <w:highlight w:val="none"/>
        </w:rPr>
        <w:t>4.4 异常恶劣的气候条件</w:t>
      </w:r>
      <w:r>
        <w:rPr>
          <w:color w:val="auto"/>
          <w:highlight w:val="none"/>
        </w:rPr>
        <w:tab/>
      </w:r>
      <w:r>
        <w:rPr>
          <w:color w:val="auto"/>
          <w:highlight w:val="none"/>
        </w:rPr>
        <w:fldChar w:fldCharType="begin"/>
      </w:r>
      <w:r>
        <w:rPr>
          <w:color w:val="auto"/>
          <w:highlight w:val="none"/>
        </w:rPr>
        <w:instrText xml:space="preserve"> PAGEREF _Toc31687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"_Toc12699" </w:instrText>
      </w:r>
      <w:r>
        <w:rPr>
          <w:color w:val="auto"/>
          <w:highlight w:val="none"/>
        </w:rPr>
        <w:fldChar w:fldCharType="separate"/>
      </w:r>
      <w:r>
        <w:rPr>
          <w:rFonts w:hint="eastAsia" w:ascii="宋体" w:hAnsi="宋体"/>
          <w:color w:val="auto"/>
          <w:highlight w:val="none"/>
        </w:rPr>
        <w:t>4.5 承包商引起的工期延误</w:t>
      </w:r>
      <w:r>
        <w:rPr>
          <w:color w:val="auto"/>
          <w:highlight w:val="none"/>
        </w:rPr>
        <w:tab/>
      </w:r>
      <w:r>
        <w:rPr>
          <w:color w:val="auto"/>
          <w:highlight w:val="none"/>
        </w:rPr>
        <w:fldChar w:fldCharType="begin"/>
      </w:r>
      <w:r>
        <w:rPr>
          <w:color w:val="auto"/>
          <w:highlight w:val="none"/>
        </w:rPr>
        <w:instrText xml:space="preserve"> PAGEREF _Toc12699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"_Toc9229" </w:instrText>
      </w:r>
      <w:r>
        <w:rPr>
          <w:color w:val="auto"/>
          <w:highlight w:val="none"/>
        </w:rPr>
        <w:fldChar w:fldCharType="separate"/>
      </w:r>
      <w:r>
        <w:rPr>
          <w:rFonts w:hint="eastAsia" w:ascii="宋体" w:hAnsi="宋体"/>
          <w:color w:val="auto"/>
          <w:szCs w:val="28"/>
          <w:highlight w:val="none"/>
        </w:rPr>
        <w:t>5. 工程质量</w:t>
      </w:r>
      <w:r>
        <w:rPr>
          <w:color w:val="auto"/>
          <w:highlight w:val="none"/>
        </w:rPr>
        <w:tab/>
      </w:r>
      <w:r>
        <w:rPr>
          <w:color w:val="auto"/>
          <w:highlight w:val="none"/>
        </w:rPr>
        <w:fldChar w:fldCharType="begin"/>
      </w:r>
      <w:r>
        <w:rPr>
          <w:color w:val="auto"/>
          <w:highlight w:val="none"/>
        </w:rPr>
        <w:instrText xml:space="preserve"> PAGEREF _Toc9229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"_Toc22683" </w:instrText>
      </w:r>
      <w:r>
        <w:rPr>
          <w:color w:val="auto"/>
          <w:highlight w:val="none"/>
        </w:rPr>
        <w:fldChar w:fldCharType="separate"/>
      </w:r>
      <w:r>
        <w:rPr>
          <w:rFonts w:hint="eastAsia" w:ascii="宋体" w:hAnsi="宋体"/>
          <w:color w:val="auto"/>
          <w:highlight w:val="none"/>
        </w:rPr>
        <w:t>5.1 工程质量要求</w:t>
      </w:r>
      <w:r>
        <w:rPr>
          <w:color w:val="auto"/>
          <w:highlight w:val="none"/>
        </w:rPr>
        <w:tab/>
      </w:r>
      <w:r>
        <w:rPr>
          <w:color w:val="auto"/>
          <w:highlight w:val="none"/>
        </w:rPr>
        <w:fldChar w:fldCharType="begin"/>
      </w:r>
      <w:r>
        <w:rPr>
          <w:color w:val="auto"/>
          <w:highlight w:val="none"/>
        </w:rPr>
        <w:instrText xml:space="preserve"> PAGEREF _Toc22683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"_Toc48" </w:instrText>
      </w:r>
      <w:r>
        <w:rPr>
          <w:color w:val="auto"/>
          <w:highlight w:val="none"/>
        </w:rPr>
        <w:fldChar w:fldCharType="separate"/>
      </w:r>
      <w:r>
        <w:rPr>
          <w:rFonts w:hint="eastAsia" w:ascii="宋体" w:hAnsi="宋体"/>
          <w:color w:val="auto"/>
          <w:highlight w:val="none"/>
        </w:rPr>
        <w:t>5.2 采购人的质量检查</w:t>
      </w:r>
      <w:r>
        <w:rPr>
          <w:color w:val="auto"/>
          <w:highlight w:val="none"/>
        </w:rPr>
        <w:tab/>
      </w:r>
      <w:r>
        <w:rPr>
          <w:color w:val="auto"/>
          <w:highlight w:val="none"/>
        </w:rPr>
        <w:fldChar w:fldCharType="begin"/>
      </w:r>
      <w:r>
        <w:rPr>
          <w:color w:val="auto"/>
          <w:highlight w:val="none"/>
        </w:rPr>
        <w:instrText xml:space="preserve"> PAGEREF _Toc48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"_Toc16099" </w:instrText>
      </w:r>
      <w:r>
        <w:rPr>
          <w:color w:val="auto"/>
          <w:highlight w:val="none"/>
        </w:rPr>
        <w:fldChar w:fldCharType="separate"/>
      </w:r>
      <w:r>
        <w:rPr>
          <w:rFonts w:hint="eastAsia" w:ascii="宋体" w:hAnsi="宋体"/>
          <w:color w:val="auto"/>
          <w:highlight w:val="none"/>
        </w:rPr>
        <w:t>5.3 工程隐蔽部位覆盖前的检查</w:t>
      </w:r>
      <w:r>
        <w:rPr>
          <w:color w:val="auto"/>
          <w:highlight w:val="none"/>
        </w:rPr>
        <w:tab/>
      </w:r>
      <w:r>
        <w:rPr>
          <w:color w:val="auto"/>
          <w:highlight w:val="none"/>
        </w:rPr>
        <w:fldChar w:fldCharType="begin"/>
      </w:r>
      <w:r>
        <w:rPr>
          <w:color w:val="auto"/>
          <w:highlight w:val="none"/>
        </w:rPr>
        <w:instrText xml:space="preserve"> PAGEREF _Toc16099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"_Toc4836" </w:instrText>
      </w:r>
      <w:r>
        <w:rPr>
          <w:color w:val="auto"/>
          <w:highlight w:val="none"/>
        </w:rPr>
        <w:fldChar w:fldCharType="separate"/>
      </w:r>
      <w:r>
        <w:rPr>
          <w:rFonts w:hint="eastAsia" w:ascii="宋体" w:hAnsi="宋体"/>
          <w:color w:val="auto"/>
          <w:highlight w:val="none"/>
        </w:rPr>
        <w:t>5.4 清除不合格工程</w:t>
      </w:r>
      <w:r>
        <w:rPr>
          <w:color w:val="auto"/>
          <w:highlight w:val="none"/>
        </w:rPr>
        <w:tab/>
      </w:r>
      <w:r>
        <w:rPr>
          <w:color w:val="auto"/>
          <w:highlight w:val="none"/>
        </w:rPr>
        <w:fldChar w:fldCharType="begin"/>
      </w:r>
      <w:r>
        <w:rPr>
          <w:color w:val="auto"/>
          <w:highlight w:val="none"/>
        </w:rPr>
        <w:instrText xml:space="preserve"> PAGEREF _Toc4836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"_Toc5438" </w:instrText>
      </w:r>
      <w:r>
        <w:rPr>
          <w:color w:val="auto"/>
          <w:highlight w:val="none"/>
        </w:rPr>
        <w:fldChar w:fldCharType="separate"/>
      </w:r>
      <w:r>
        <w:rPr>
          <w:rFonts w:hint="eastAsia" w:ascii="宋体" w:hAnsi="宋体"/>
          <w:color w:val="auto"/>
          <w:szCs w:val="28"/>
          <w:highlight w:val="none"/>
        </w:rPr>
        <w:t>6. 试验和检验</w:t>
      </w:r>
      <w:r>
        <w:rPr>
          <w:color w:val="auto"/>
          <w:highlight w:val="none"/>
        </w:rPr>
        <w:tab/>
      </w:r>
      <w:r>
        <w:rPr>
          <w:color w:val="auto"/>
          <w:highlight w:val="none"/>
        </w:rPr>
        <w:fldChar w:fldCharType="begin"/>
      </w:r>
      <w:r>
        <w:rPr>
          <w:color w:val="auto"/>
          <w:highlight w:val="none"/>
        </w:rPr>
        <w:instrText xml:space="preserve"> PAGEREF _Toc5438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"_Toc18190" </w:instrText>
      </w:r>
      <w:r>
        <w:rPr>
          <w:color w:val="auto"/>
          <w:highlight w:val="none"/>
        </w:rPr>
        <w:fldChar w:fldCharType="separate"/>
      </w:r>
      <w:r>
        <w:rPr>
          <w:rFonts w:hint="eastAsia" w:ascii="宋体" w:hAnsi="宋体"/>
          <w:color w:val="auto"/>
          <w:highlight w:val="none"/>
        </w:rPr>
        <w:t>6.1 材料、工程设备和工程的试验和检验</w:t>
      </w:r>
      <w:r>
        <w:rPr>
          <w:color w:val="auto"/>
          <w:highlight w:val="none"/>
        </w:rPr>
        <w:tab/>
      </w:r>
      <w:r>
        <w:rPr>
          <w:color w:val="auto"/>
          <w:highlight w:val="none"/>
        </w:rPr>
        <w:fldChar w:fldCharType="begin"/>
      </w:r>
      <w:r>
        <w:rPr>
          <w:color w:val="auto"/>
          <w:highlight w:val="none"/>
        </w:rPr>
        <w:instrText xml:space="preserve"> PAGEREF _Toc18190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"_Toc11067" </w:instrText>
      </w:r>
      <w:r>
        <w:rPr>
          <w:color w:val="auto"/>
          <w:highlight w:val="none"/>
        </w:rPr>
        <w:fldChar w:fldCharType="separate"/>
      </w:r>
      <w:r>
        <w:rPr>
          <w:rFonts w:hint="eastAsia" w:ascii="宋体" w:hAnsi="宋体"/>
          <w:color w:val="auto"/>
          <w:highlight w:val="none"/>
        </w:rPr>
        <w:t>6.2 现场材料试验</w:t>
      </w:r>
      <w:r>
        <w:rPr>
          <w:color w:val="auto"/>
          <w:highlight w:val="none"/>
        </w:rPr>
        <w:tab/>
      </w:r>
      <w:r>
        <w:rPr>
          <w:color w:val="auto"/>
          <w:highlight w:val="none"/>
        </w:rPr>
        <w:fldChar w:fldCharType="begin"/>
      </w:r>
      <w:r>
        <w:rPr>
          <w:color w:val="auto"/>
          <w:highlight w:val="none"/>
        </w:rPr>
        <w:instrText xml:space="preserve"> PAGEREF _Toc11067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"_Toc25929" </w:instrText>
      </w:r>
      <w:r>
        <w:rPr>
          <w:color w:val="auto"/>
          <w:highlight w:val="none"/>
        </w:rPr>
        <w:fldChar w:fldCharType="separate"/>
      </w:r>
      <w:r>
        <w:rPr>
          <w:rFonts w:hint="eastAsia" w:ascii="宋体" w:hAnsi="宋体"/>
          <w:color w:val="auto"/>
          <w:szCs w:val="28"/>
          <w:highlight w:val="none"/>
        </w:rPr>
        <w:t>7. 变更</w:t>
      </w:r>
      <w:r>
        <w:rPr>
          <w:color w:val="auto"/>
          <w:highlight w:val="none"/>
        </w:rPr>
        <w:tab/>
      </w:r>
      <w:r>
        <w:rPr>
          <w:color w:val="auto"/>
          <w:highlight w:val="none"/>
        </w:rPr>
        <w:fldChar w:fldCharType="begin"/>
      </w:r>
      <w:r>
        <w:rPr>
          <w:color w:val="auto"/>
          <w:highlight w:val="none"/>
        </w:rPr>
        <w:instrText xml:space="preserve"> PAGEREF _Toc25929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"_Toc18703" </w:instrText>
      </w:r>
      <w:r>
        <w:rPr>
          <w:color w:val="auto"/>
          <w:highlight w:val="none"/>
        </w:rPr>
        <w:fldChar w:fldCharType="separate"/>
      </w:r>
      <w:r>
        <w:rPr>
          <w:rFonts w:hint="eastAsia" w:ascii="宋体" w:hAnsi="宋体"/>
          <w:color w:val="auto"/>
          <w:highlight w:val="none"/>
        </w:rPr>
        <w:t>7.1 变更权</w:t>
      </w:r>
      <w:r>
        <w:rPr>
          <w:color w:val="auto"/>
          <w:highlight w:val="none"/>
        </w:rPr>
        <w:tab/>
      </w:r>
      <w:r>
        <w:rPr>
          <w:color w:val="auto"/>
          <w:highlight w:val="none"/>
        </w:rPr>
        <w:fldChar w:fldCharType="begin"/>
      </w:r>
      <w:r>
        <w:rPr>
          <w:color w:val="auto"/>
          <w:highlight w:val="none"/>
        </w:rPr>
        <w:instrText xml:space="preserve"> PAGEREF _Toc18703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"_Toc22238" </w:instrText>
      </w:r>
      <w:r>
        <w:rPr>
          <w:color w:val="auto"/>
          <w:highlight w:val="none"/>
        </w:rPr>
        <w:fldChar w:fldCharType="separate"/>
      </w:r>
      <w:r>
        <w:rPr>
          <w:rFonts w:hint="eastAsia" w:ascii="宋体" w:hAnsi="宋体"/>
          <w:color w:val="auto"/>
          <w:highlight w:val="none"/>
        </w:rPr>
        <w:t>7.2 变更程序</w:t>
      </w:r>
      <w:r>
        <w:rPr>
          <w:color w:val="auto"/>
          <w:highlight w:val="none"/>
        </w:rPr>
        <w:tab/>
      </w:r>
      <w:r>
        <w:rPr>
          <w:color w:val="auto"/>
          <w:highlight w:val="none"/>
        </w:rPr>
        <w:fldChar w:fldCharType="begin"/>
      </w:r>
      <w:r>
        <w:rPr>
          <w:color w:val="auto"/>
          <w:highlight w:val="none"/>
        </w:rPr>
        <w:instrText xml:space="preserve"> PAGEREF _Toc22238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"_Toc30010" </w:instrText>
      </w:r>
      <w:r>
        <w:rPr>
          <w:color w:val="auto"/>
          <w:highlight w:val="none"/>
        </w:rPr>
        <w:fldChar w:fldCharType="separate"/>
      </w:r>
      <w:r>
        <w:rPr>
          <w:rFonts w:hint="eastAsia" w:ascii="宋体" w:hAnsi="宋体"/>
          <w:color w:val="auto"/>
          <w:szCs w:val="28"/>
          <w:highlight w:val="none"/>
        </w:rPr>
        <w:t>8. 计量与支付</w:t>
      </w:r>
      <w:r>
        <w:rPr>
          <w:color w:val="auto"/>
          <w:highlight w:val="none"/>
        </w:rPr>
        <w:tab/>
      </w:r>
      <w:r>
        <w:rPr>
          <w:color w:val="auto"/>
          <w:highlight w:val="none"/>
        </w:rPr>
        <w:fldChar w:fldCharType="begin"/>
      </w:r>
      <w:r>
        <w:rPr>
          <w:color w:val="auto"/>
          <w:highlight w:val="none"/>
        </w:rPr>
        <w:instrText xml:space="preserve"> PAGEREF _Toc30010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"_Toc10560" </w:instrText>
      </w:r>
      <w:r>
        <w:rPr>
          <w:color w:val="auto"/>
          <w:highlight w:val="none"/>
        </w:rPr>
        <w:fldChar w:fldCharType="separate"/>
      </w:r>
      <w:r>
        <w:rPr>
          <w:rFonts w:hint="eastAsia" w:ascii="宋体" w:hAnsi="宋体"/>
          <w:color w:val="auto"/>
          <w:highlight w:val="none"/>
        </w:rPr>
        <w:t>8.1 计量</w:t>
      </w:r>
      <w:r>
        <w:rPr>
          <w:color w:val="auto"/>
          <w:highlight w:val="none"/>
        </w:rPr>
        <w:tab/>
      </w:r>
      <w:r>
        <w:rPr>
          <w:color w:val="auto"/>
          <w:highlight w:val="none"/>
        </w:rPr>
        <w:fldChar w:fldCharType="begin"/>
      </w:r>
      <w:r>
        <w:rPr>
          <w:color w:val="auto"/>
          <w:highlight w:val="none"/>
        </w:rPr>
        <w:instrText xml:space="preserve"> PAGEREF _Toc10560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"_Toc27787" </w:instrText>
      </w:r>
      <w:r>
        <w:rPr>
          <w:color w:val="auto"/>
          <w:highlight w:val="none"/>
        </w:rPr>
        <w:fldChar w:fldCharType="separate"/>
      </w:r>
      <w:r>
        <w:rPr>
          <w:rFonts w:hint="eastAsia" w:ascii="宋体" w:hAnsi="宋体"/>
          <w:color w:val="auto"/>
          <w:highlight w:val="none"/>
        </w:rPr>
        <w:t>8.2 采购款项支付</w:t>
      </w:r>
      <w:r>
        <w:rPr>
          <w:color w:val="auto"/>
          <w:highlight w:val="none"/>
        </w:rPr>
        <w:tab/>
      </w:r>
      <w:r>
        <w:rPr>
          <w:color w:val="auto"/>
          <w:highlight w:val="none"/>
        </w:rPr>
        <w:fldChar w:fldCharType="begin"/>
      </w:r>
      <w:r>
        <w:rPr>
          <w:color w:val="auto"/>
          <w:highlight w:val="none"/>
        </w:rPr>
        <w:instrText xml:space="preserve"> PAGEREF _Toc27787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"_Toc7810" </w:instrText>
      </w:r>
      <w:r>
        <w:rPr>
          <w:color w:val="auto"/>
          <w:highlight w:val="none"/>
        </w:rPr>
        <w:fldChar w:fldCharType="separate"/>
      </w:r>
      <w:r>
        <w:rPr>
          <w:rFonts w:hint="eastAsia" w:ascii="宋体" w:hAnsi="宋体"/>
          <w:color w:val="auto"/>
          <w:highlight w:val="none"/>
        </w:rPr>
        <w:t>8.3 质量保证金</w:t>
      </w:r>
      <w:r>
        <w:rPr>
          <w:color w:val="auto"/>
          <w:highlight w:val="none"/>
        </w:rPr>
        <w:tab/>
      </w:r>
      <w:r>
        <w:rPr>
          <w:color w:val="auto"/>
          <w:highlight w:val="none"/>
        </w:rPr>
        <w:fldChar w:fldCharType="begin"/>
      </w:r>
      <w:r>
        <w:rPr>
          <w:color w:val="auto"/>
          <w:highlight w:val="none"/>
        </w:rPr>
        <w:instrText xml:space="preserve"> PAGEREF _Toc7810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"_Toc1864" </w:instrText>
      </w:r>
      <w:r>
        <w:rPr>
          <w:color w:val="auto"/>
          <w:highlight w:val="none"/>
        </w:rPr>
        <w:fldChar w:fldCharType="separate"/>
      </w:r>
      <w:r>
        <w:rPr>
          <w:rFonts w:hint="eastAsia" w:ascii="宋体" w:hAnsi="宋体"/>
          <w:color w:val="auto"/>
          <w:highlight w:val="none"/>
        </w:rPr>
        <w:t>8.4竣工结算</w:t>
      </w:r>
      <w:r>
        <w:rPr>
          <w:color w:val="auto"/>
          <w:highlight w:val="none"/>
        </w:rPr>
        <w:tab/>
      </w:r>
      <w:r>
        <w:rPr>
          <w:color w:val="auto"/>
          <w:highlight w:val="none"/>
        </w:rPr>
        <w:fldChar w:fldCharType="begin"/>
      </w:r>
      <w:r>
        <w:rPr>
          <w:color w:val="auto"/>
          <w:highlight w:val="none"/>
        </w:rPr>
        <w:instrText xml:space="preserve"> PAGEREF _Toc1864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"_Toc14947" </w:instrText>
      </w:r>
      <w:r>
        <w:rPr>
          <w:color w:val="auto"/>
          <w:highlight w:val="none"/>
        </w:rPr>
        <w:fldChar w:fldCharType="separate"/>
      </w:r>
      <w:r>
        <w:rPr>
          <w:rFonts w:hint="eastAsia" w:ascii="宋体" w:hAnsi="宋体"/>
          <w:color w:val="auto"/>
          <w:szCs w:val="28"/>
          <w:highlight w:val="none"/>
        </w:rPr>
        <w:t>9. 竣工验收</w:t>
      </w:r>
      <w:r>
        <w:rPr>
          <w:color w:val="auto"/>
          <w:highlight w:val="none"/>
        </w:rPr>
        <w:tab/>
      </w:r>
      <w:r>
        <w:rPr>
          <w:color w:val="auto"/>
          <w:highlight w:val="none"/>
        </w:rPr>
        <w:fldChar w:fldCharType="begin"/>
      </w:r>
      <w:r>
        <w:rPr>
          <w:color w:val="auto"/>
          <w:highlight w:val="none"/>
        </w:rPr>
        <w:instrText xml:space="preserve"> PAGEREF _Toc14947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"_Toc23676" </w:instrText>
      </w:r>
      <w:r>
        <w:rPr>
          <w:color w:val="auto"/>
          <w:highlight w:val="none"/>
        </w:rPr>
        <w:fldChar w:fldCharType="separate"/>
      </w:r>
      <w:r>
        <w:rPr>
          <w:rFonts w:hint="eastAsia" w:ascii="宋体" w:hAnsi="宋体"/>
          <w:color w:val="auto"/>
          <w:highlight w:val="none"/>
        </w:rPr>
        <w:t>9.1 竣工验收的含义</w:t>
      </w:r>
      <w:r>
        <w:rPr>
          <w:color w:val="auto"/>
          <w:highlight w:val="none"/>
        </w:rPr>
        <w:tab/>
      </w:r>
      <w:r>
        <w:rPr>
          <w:color w:val="auto"/>
          <w:highlight w:val="none"/>
        </w:rPr>
        <w:fldChar w:fldCharType="begin"/>
      </w:r>
      <w:r>
        <w:rPr>
          <w:color w:val="auto"/>
          <w:highlight w:val="none"/>
        </w:rPr>
        <w:instrText xml:space="preserve"> PAGEREF _Toc23676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"_Toc30951" </w:instrText>
      </w:r>
      <w:r>
        <w:rPr>
          <w:color w:val="auto"/>
          <w:highlight w:val="none"/>
        </w:rPr>
        <w:fldChar w:fldCharType="separate"/>
      </w:r>
      <w:r>
        <w:rPr>
          <w:rFonts w:hint="eastAsia" w:ascii="宋体" w:hAnsi="宋体"/>
          <w:color w:val="auto"/>
          <w:highlight w:val="none"/>
        </w:rPr>
        <w:t>9.2 竣工验收申请报告</w:t>
      </w:r>
      <w:r>
        <w:rPr>
          <w:color w:val="auto"/>
          <w:highlight w:val="none"/>
        </w:rPr>
        <w:tab/>
      </w:r>
      <w:r>
        <w:rPr>
          <w:color w:val="auto"/>
          <w:highlight w:val="none"/>
        </w:rPr>
        <w:fldChar w:fldCharType="begin"/>
      </w:r>
      <w:r>
        <w:rPr>
          <w:color w:val="auto"/>
          <w:highlight w:val="none"/>
        </w:rPr>
        <w:instrText xml:space="preserve"> PAGEREF _Toc30951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"_Toc15539" </w:instrText>
      </w:r>
      <w:r>
        <w:rPr>
          <w:color w:val="auto"/>
          <w:highlight w:val="none"/>
        </w:rPr>
        <w:fldChar w:fldCharType="separate"/>
      </w:r>
      <w:r>
        <w:rPr>
          <w:rFonts w:hint="eastAsia" w:ascii="宋体" w:hAnsi="宋体"/>
          <w:color w:val="auto"/>
          <w:highlight w:val="none"/>
        </w:rPr>
        <w:t>9.3 竣工和验收</w:t>
      </w:r>
      <w:r>
        <w:rPr>
          <w:color w:val="auto"/>
          <w:highlight w:val="none"/>
        </w:rPr>
        <w:tab/>
      </w:r>
      <w:r>
        <w:rPr>
          <w:color w:val="auto"/>
          <w:highlight w:val="none"/>
        </w:rPr>
        <w:fldChar w:fldCharType="begin"/>
      </w:r>
      <w:r>
        <w:rPr>
          <w:color w:val="auto"/>
          <w:highlight w:val="none"/>
        </w:rPr>
        <w:instrText xml:space="preserve"> PAGEREF _Toc15539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"_Toc665" </w:instrText>
      </w:r>
      <w:r>
        <w:rPr>
          <w:color w:val="auto"/>
          <w:highlight w:val="none"/>
        </w:rPr>
        <w:fldChar w:fldCharType="separate"/>
      </w:r>
      <w:r>
        <w:rPr>
          <w:rFonts w:hint="eastAsia" w:ascii="宋体" w:hAnsi="宋体"/>
          <w:color w:val="auto"/>
          <w:highlight w:val="none"/>
        </w:rPr>
        <w:t>9.4 试运行</w:t>
      </w:r>
      <w:r>
        <w:rPr>
          <w:color w:val="auto"/>
          <w:highlight w:val="none"/>
        </w:rPr>
        <w:tab/>
      </w:r>
      <w:r>
        <w:rPr>
          <w:color w:val="auto"/>
          <w:highlight w:val="none"/>
        </w:rPr>
        <w:fldChar w:fldCharType="begin"/>
      </w:r>
      <w:r>
        <w:rPr>
          <w:color w:val="auto"/>
          <w:highlight w:val="none"/>
        </w:rPr>
        <w:instrText xml:space="preserve"> PAGEREF _Toc665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"_Toc10165" </w:instrText>
      </w:r>
      <w:r>
        <w:rPr>
          <w:color w:val="auto"/>
          <w:highlight w:val="none"/>
        </w:rPr>
        <w:fldChar w:fldCharType="separate"/>
      </w:r>
      <w:r>
        <w:rPr>
          <w:rFonts w:hint="eastAsia" w:ascii="宋体" w:hAnsi="宋体"/>
          <w:color w:val="auto"/>
          <w:highlight w:val="none"/>
        </w:rPr>
        <w:t>9.5 竣工清场</w:t>
      </w:r>
      <w:r>
        <w:rPr>
          <w:color w:val="auto"/>
          <w:highlight w:val="none"/>
        </w:rPr>
        <w:tab/>
      </w:r>
      <w:r>
        <w:rPr>
          <w:color w:val="auto"/>
          <w:highlight w:val="none"/>
        </w:rPr>
        <w:fldChar w:fldCharType="begin"/>
      </w:r>
      <w:r>
        <w:rPr>
          <w:color w:val="auto"/>
          <w:highlight w:val="none"/>
        </w:rPr>
        <w:instrText xml:space="preserve"> PAGEREF _Toc10165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"_Toc5093" </w:instrText>
      </w:r>
      <w:r>
        <w:rPr>
          <w:color w:val="auto"/>
          <w:highlight w:val="none"/>
        </w:rPr>
        <w:fldChar w:fldCharType="separate"/>
      </w:r>
      <w:r>
        <w:rPr>
          <w:rFonts w:hint="eastAsia" w:ascii="宋体" w:hAnsi="宋体"/>
          <w:color w:val="auto"/>
          <w:szCs w:val="28"/>
          <w:highlight w:val="none"/>
        </w:rPr>
        <w:t>10. 质量保证责任与保修责任</w:t>
      </w:r>
      <w:r>
        <w:rPr>
          <w:color w:val="auto"/>
          <w:highlight w:val="none"/>
        </w:rPr>
        <w:tab/>
      </w:r>
      <w:r>
        <w:rPr>
          <w:color w:val="auto"/>
          <w:highlight w:val="none"/>
        </w:rPr>
        <w:fldChar w:fldCharType="begin"/>
      </w:r>
      <w:r>
        <w:rPr>
          <w:color w:val="auto"/>
          <w:highlight w:val="none"/>
        </w:rPr>
        <w:instrText xml:space="preserve"> PAGEREF _Toc5093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"_Toc15615" </w:instrText>
      </w:r>
      <w:r>
        <w:rPr>
          <w:color w:val="auto"/>
          <w:highlight w:val="none"/>
        </w:rPr>
        <w:fldChar w:fldCharType="separate"/>
      </w:r>
      <w:r>
        <w:rPr>
          <w:rFonts w:hint="eastAsia" w:ascii="宋体" w:hAnsi="宋体"/>
          <w:color w:val="auto"/>
          <w:highlight w:val="none"/>
        </w:rPr>
        <w:t>10.1 质量保证责任</w:t>
      </w:r>
      <w:r>
        <w:rPr>
          <w:color w:val="auto"/>
          <w:highlight w:val="none"/>
        </w:rPr>
        <w:tab/>
      </w:r>
      <w:r>
        <w:rPr>
          <w:color w:val="auto"/>
          <w:highlight w:val="none"/>
        </w:rPr>
        <w:fldChar w:fldCharType="begin"/>
      </w:r>
      <w:r>
        <w:rPr>
          <w:color w:val="auto"/>
          <w:highlight w:val="none"/>
        </w:rPr>
        <w:instrText xml:space="preserve"> PAGEREF _Toc15615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"_Toc14374" </w:instrText>
      </w:r>
      <w:r>
        <w:rPr>
          <w:color w:val="auto"/>
          <w:highlight w:val="none"/>
        </w:rPr>
        <w:fldChar w:fldCharType="separate"/>
      </w:r>
      <w:r>
        <w:rPr>
          <w:rFonts w:hint="eastAsia" w:ascii="宋体" w:hAnsi="宋体"/>
          <w:color w:val="auto"/>
          <w:szCs w:val="28"/>
          <w:highlight w:val="none"/>
        </w:rPr>
        <w:t>11. 保险</w:t>
      </w:r>
      <w:r>
        <w:rPr>
          <w:color w:val="auto"/>
          <w:highlight w:val="none"/>
        </w:rPr>
        <w:tab/>
      </w:r>
      <w:r>
        <w:rPr>
          <w:color w:val="auto"/>
          <w:highlight w:val="none"/>
        </w:rPr>
        <w:fldChar w:fldCharType="begin"/>
      </w:r>
      <w:r>
        <w:rPr>
          <w:color w:val="auto"/>
          <w:highlight w:val="none"/>
        </w:rPr>
        <w:instrText xml:space="preserve"> PAGEREF _Toc14374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"_Toc25858" </w:instrText>
      </w:r>
      <w:r>
        <w:rPr>
          <w:color w:val="auto"/>
          <w:highlight w:val="none"/>
        </w:rPr>
        <w:fldChar w:fldCharType="separate"/>
      </w:r>
      <w:r>
        <w:rPr>
          <w:rFonts w:hint="eastAsia" w:ascii="宋体" w:hAnsi="宋体"/>
          <w:color w:val="auto"/>
          <w:highlight w:val="none"/>
        </w:rPr>
        <w:t>11.1 保险范围</w:t>
      </w:r>
      <w:r>
        <w:rPr>
          <w:color w:val="auto"/>
          <w:highlight w:val="none"/>
        </w:rPr>
        <w:tab/>
      </w:r>
      <w:r>
        <w:rPr>
          <w:color w:val="auto"/>
          <w:highlight w:val="none"/>
        </w:rPr>
        <w:fldChar w:fldCharType="begin"/>
      </w:r>
      <w:r>
        <w:rPr>
          <w:color w:val="auto"/>
          <w:highlight w:val="none"/>
        </w:rPr>
        <w:instrText xml:space="preserve"> PAGEREF _Toc25858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"_Toc15974" </w:instrText>
      </w:r>
      <w:r>
        <w:rPr>
          <w:color w:val="auto"/>
          <w:highlight w:val="none"/>
        </w:rPr>
        <w:fldChar w:fldCharType="separate"/>
      </w:r>
      <w:r>
        <w:rPr>
          <w:rFonts w:hint="eastAsia" w:ascii="宋体" w:hAnsi="宋体"/>
          <w:color w:val="auto"/>
          <w:highlight w:val="none"/>
        </w:rPr>
        <w:t xml:space="preserve">11.2 </w:t>
      </w:r>
      <w:r>
        <w:rPr>
          <w:rFonts w:ascii="宋体" w:hAnsi="宋体"/>
          <w:color w:val="auto"/>
          <w:highlight w:val="none"/>
        </w:rPr>
        <w:t>未办理保</w:t>
      </w:r>
      <w:r>
        <w:rPr>
          <w:rFonts w:hint="eastAsia" w:ascii="宋体" w:hAnsi="宋体"/>
          <w:color w:val="auto"/>
          <w:highlight w:val="none"/>
        </w:rPr>
        <w:t>险</w:t>
      </w:r>
      <w:r>
        <w:rPr>
          <w:color w:val="auto"/>
          <w:highlight w:val="none"/>
        </w:rPr>
        <w:tab/>
      </w:r>
      <w:r>
        <w:rPr>
          <w:color w:val="auto"/>
          <w:highlight w:val="none"/>
        </w:rPr>
        <w:fldChar w:fldCharType="begin"/>
      </w:r>
      <w:r>
        <w:rPr>
          <w:color w:val="auto"/>
          <w:highlight w:val="none"/>
        </w:rPr>
        <w:instrText xml:space="preserve"> PAGEREF _Toc15974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"_Toc8573" </w:instrText>
      </w:r>
      <w:r>
        <w:rPr>
          <w:color w:val="auto"/>
          <w:highlight w:val="none"/>
        </w:rPr>
        <w:fldChar w:fldCharType="separate"/>
      </w:r>
      <w:r>
        <w:rPr>
          <w:rFonts w:hint="eastAsia" w:ascii="宋体" w:hAnsi="宋体"/>
          <w:color w:val="auto"/>
          <w:szCs w:val="28"/>
          <w:highlight w:val="none"/>
        </w:rPr>
        <w:t>12. 不可抗力</w:t>
      </w:r>
      <w:r>
        <w:rPr>
          <w:color w:val="auto"/>
          <w:highlight w:val="none"/>
        </w:rPr>
        <w:tab/>
      </w:r>
      <w:r>
        <w:rPr>
          <w:color w:val="auto"/>
          <w:highlight w:val="none"/>
        </w:rPr>
        <w:fldChar w:fldCharType="begin"/>
      </w:r>
      <w:r>
        <w:rPr>
          <w:color w:val="auto"/>
          <w:highlight w:val="none"/>
        </w:rPr>
        <w:instrText xml:space="preserve"> PAGEREF _Toc8573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"_Toc15588" </w:instrText>
      </w:r>
      <w:r>
        <w:rPr>
          <w:color w:val="auto"/>
          <w:highlight w:val="none"/>
        </w:rPr>
        <w:fldChar w:fldCharType="separate"/>
      </w:r>
      <w:r>
        <w:rPr>
          <w:rFonts w:hint="eastAsia" w:ascii="宋体" w:hAnsi="宋体"/>
          <w:color w:val="auto"/>
          <w:highlight w:val="none"/>
        </w:rPr>
        <w:t>12.1 不可抗力的确认</w:t>
      </w:r>
      <w:r>
        <w:rPr>
          <w:color w:val="auto"/>
          <w:highlight w:val="none"/>
        </w:rPr>
        <w:tab/>
      </w:r>
      <w:r>
        <w:rPr>
          <w:color w:val="auto"/>
          <w:highlight w:val="none"/>
        </w:rPr>
        <w:fldChar w:fldCharType="begin"/>
      </w:r>
      <w:r>
        <w:rPr>
          <w:color w:val="auto"/>
          <w:highlight w:val="none"/>
        </w:rPr>
        <w:instrText xml:space="preserve"> PAGEREF _Toc15588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"_Toc9567" </w:instrText>
      </w:r>
      <w:r>
        <w:rPr>
          <w:color w:val="auto"/>
          <w:highlight w:val="none"/>
        </w:rPr>
        <w:fldChar w:fldCharType="separate"/>
      </w:r>
      <w:r>
        <w:rPr>
          <w:rFonts w:hint="eastAsia" w:ascii="宋体" w:hAnsi="宋体"/>
          <w:color w:val="auto"/>
          <w:highlight w:val="none"/>
        </w:rPr>
        <w:t>12.2 不可抗力的通知</w:t>
      </w:r>
      <w:r>
        <w:rPr>
          <w:color w:val="auto"/>
          <w:highlight w:val="none"/>
        </w:rPr>
        <w:tab/>
      </w:r>
      <w:r>
        <w:rPr>
          <w:color w:val="auto"/>
          <w:highlight w:val="none"/>
        </w:rPr>
        <w:fldChar w:fldCharType="begin"/>
      </w:r>
      <w:r>
        <w:rPr>
          <w:color w:val="auto"/>
          <w:highlight w:val="none"/>
        </w:rPr>
        <w:instrText xml:space="preserve"> PAGEREF _Toc9567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"_Toc25035" </w:instrText>
      </w:r>
      <w:r>
        <w:rPr>
          <w:color w:val="auto"/>
          <w:highlight w:val="none"/>
        </w:rPr>
        <w:fldChar w:fldCharType="separate"/>
      </w:r>
      <w:r>
        <w:rPr>
          <w:rFonts w:hint="eastAsia" w:ascii="宋体" w:hAnsi="宋体"/>
          <w:color w:val="auto"/>
          <w:highlight w:val="none"/>
        </w:rPr>
        <w:t>12.3 不可抗力后果及其处理</w:t>
      </w:r>
      <w:r>
        <w:rPr>
          <w:color w:val="auto"/>
          <w:highlight w:val="none"/>
        </w:rPr>
        <w:tab/>
      </w:r>
      <w:r>
        <w:rPr>
          <w:color w:val="auto"/>
          <w:highlight w:val="none"/>
        </w:rPr>
        <w:fldChar w:fldCharType="begin"/>
      </w:r>
      <w:r>
        <w:rPr>
          <w:color w:val="auto"/>
          <w:highlight w:val="none"/>
        </w:rPr>
        <w:instrText xml:space="preserve"> PAGEREF _Toc25035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"_Toc6431" </w:instrText>
      </w:r>
      <w:r>
        <w:rPr>
          <w:color w:val="auto"/>
          <w:highlight w:val="none"/>
        </w:rPr>
        <w:fldChar w:fldCharType="separate"/>
      </w:r>
      <w:r>
        <w:rPr>
          <w:rFonts w:hint="eastAsia" w:ascii="宋体" w:hAnsi="宋体"/>
          <w:color w:val="auto"/>
          <w:szCs w:val="28"/>
          <w:highlight w:val="none"/>
        </w:rPr>
        <w:t>13. 违约</w:t>
      </w:r>
      <w:r>
        <w:rPr>
          <w:color w:val="auto"/>
          <w:highlight w:val="none"/>
        </w:rPr>
        <w:tab/>
      </w:r>
      <w:r>
        <w:rPr>
          <w:color w:val="auto"/>
          <w:highlight w:val="none"/>
        </w:rPr>
        <w:fldChar w:fldCharType="begin"/>
      </w:r>
      <w:r>
        <w:rPr>
          <w:color w:val="auto"/>
          <w:highlight w:val="none"/>
        </w:rPr>
        <w:instrText xml:space="preserve"> PAGEREF _Toc6431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"_Toc719" </w:instrText>
      </w:r>
      <w:r>
        <w:rPr>
          <w:color w:val="auto"/>
          <w:highlight w:val="none"/>
        </w:rPr>
        <w:fldChar w:fldCharType="separate"/>
      </w:r>
      <w:r>
        <w:rPr>
          <w:rFonts w:hint="eastAsia" w:ascii="宋体" w:hAnsi="宋体"/>
          <w:color w:val="auto"/>
          <w:highlight w:val="none"/>
        </w:rPr>
        <w:t>13.1 承包商违约</w:t>
      </w:r>
      <w:r>
        <w:rPr>
          <w:color w:val="auto"/>
          <w:highlight w:val="none"/>
        </w:rPr>
        <w:tab/>
      </w:r>
      <w:r>
        <w:rPr>
          <w:color w:val="auto"/>
          <w:highlight w:val="none"/>
        </w:rPr>
        <w:fldChar w:fldCharType="begin"/>
      </w:r>
      <w:r>
        <w:rPr>
          <w:color w:val="auto"/>
          <w:highlight w:val="none"/>
        </w:rPr>
        <w:instrText xml:space="preserve"> PAGEREF _Toc719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"_Toc22120" </w:instrText>
      </w:r>
      <w:r>
        <w:rPr>
          <w:color w:val="auto"/>
          <w:highlight w:val="none"/>
        </w:rPr>
        <w:fldChar w:fldCharType="separate"/>
      </w:r>
      <w:r>
        <w:rPr>
          <w:rFonts w:hint="eastAsia" w:ascii="宋体" w:hAnsi="宋体"/>
          <w:color w:val="auto"/>
          <w:highlight w:val="none"/>
        </w:rPr>
        <w:t>13.2 采购人违约</w:t>
      </w:r>
      <w:r>
        <w:rPr>
          <w:color w:val="auto"/>
          <w:highlight w:val="none"/>
        </w:rPr>
        <w:tab/>
      </w:r>
      <w:r>
        <w:rPr>
          <w:color w:val="auto"/>
          <w:highlight w:val="none"/>
        </w:rPr>
        <w:fldChar w:fldCharType="begin"/>
      </w:r>
      <w:r>
        <w:rPr>
          <w:color w:val="auto"/>
          <w:highlight w:val="none"/>
        </w:rPr>
        <w:instrText xml:space="preserve"> PAGEREF _Toc22120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"_Toc10891" </w:instrText>
      </w:r>
      <w:r>
        <w:rPr>
          <w:color w:val="auto"/>
          <w:highlight w:val="none"/>
        </w:rPr>
        <w:fldChar w:fldCharType="separate"/>
      </w:r>
      <w:r>
        <w:rPr>
          <w:rFonts w:hint="eastAsia" w:ascii="宋体" w:hAnsi="宋体"/>
          <w:color w:val="auto"/>
          <w:szCs w:val="28"/>
          <w:highlight w:val="none"/>
        </w:rPr>
        <w:t>14. 索赔</w:t>
      </w:r>
      <w:r>
        <w:rPr>
          <w:color w:val="auto"/>
          <w:highlight w:val="none"/>
        </w:rPr>
        <w:tab/>
      </w:r>
      <w:r>
        <w:rPr>
          <w:color w:val="auto"/>
          <w:highlight w:val="none"/>
        </w:rPr>
        <w:fldChar w:fldCharType="begin"/>
      </w:r>
      <w:r>
        <w:rPr>
          <w:color w:val="auto"/>
          <w:highlight w:val="none"/>
        </w:rPr>
        <w:instrText xml:space="preserve"> PAGEREF _Toc10891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"_Toc32394" </w:instrText>
      </w:r>
      <w:r>
        <w:rPr>
          <w:color w:val="auto"/>
          <w:highlight w:val="none"/>
        </w:rPr>
        <w:fldChar w:fldCharType="separate"/>
      </w:r>
      <w:r>
        <w:rPr>
          <w:rFonts w:hint="eastAsia" w:ascii="宋体" w:hAnsi="宋体"/>
          <w:color w:val="auto"/>
          <w:highlight w:val="none"/>
        </w:rPr>
        <w:t>14.1 承包商索赔的提出</w:t>
      </w:r>
      <w:r>
        <w:rPr>
          <w:color w:val="auto"/>
          <w:highlight w:val="none"/>
        </w:rPr>
        <w:tab/>
      </w:r>
      <w:r>
        <w:rPr>
          <w:color w:val="auto"/>
          <w:highlight w:val="none"/>
        </w:rPr>
        <w:fldChar w:fldCharType="begin"/>
      </w:r>
      <w:r>
        <w:rPr>
          <w:color w:val="auto"/>
          <w:highlight w:val="none"/>
        </w:rPr>
        <w:instrText xml:space="preserve"> PAGEREF _Toc32394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"_Toc6599" </w:instrText>
      </w:r>
      <w:r>
        <w:rPr>
          <w:color w:val="auto"/>
          <w:highlight w:val="none"/>
        </w:rPr>
        <w:fldChar w:fldCharType="separate"/>
      </w:r>
      <w:r>
        <w:rPr>
          <w:rFonts w:hint="eastAsia" w:ascii="宋体" w:hAnsi="宋体"/>
          <w:color w:val="auto"/>
          <w:highlight w:val="none"/>
        </w:rPr>
        <w:t>14.2 承包商索赔处理程序</w:t>
      </w:r>
      <w:r>
        <w:rPr>
          <w:color w:val="auto"/>
          <w:highlight w:val="none"/>
        </w:rPr>
        <w:tab/>
      </w:r>
      <w:r>
        <w:rPr>
          <w:color w:val="auto"/>
          <w:highlight w:val="none"/>
        </w:rPr>
        <w:fldChar w:fldCharType="begin"/>
      </w:r>
      <w:r>
        <w:rPr>
          <w:color w:val="auto"/>
          <w:highlight w:val="none"/>
        </w:rPr>
        <w:instrText xml:space="preserve"> PAGEREF _Toc6599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"_Toc10513" </w:instrText>
      </w:r>
      <w:r>
        <w:rPr>
          <w:color w:val="auto"/>
          <w:highlight w:val="none"/>
        </w:rPr>
        <w:fldChar w:fldCharType="separate"/>
      </w:r>
      <w:r>
        <w:rPr>
          <w:rFonts w:hint="eastAsia" w:ascii="宋体" w:hAnsi="宋体"/>
          <w:color w:val="auto"/>
          <w:highlight w:val="none"/>
        </w:rPr>
        <w:t>14.3 承包商提出索赔的期限</w:t>
      </w:r>
      <w:r>
        <w:rPr>
          <w:color w:val="auto"/>
          <w:highlight w:val="none"/>
        </w:rPr>
        <w:tab/>
      </w:r>
      <w:r>
        <w:rPr>
          <w:color w:val="auto"/>
          <w:highlight w:val="none"/>
        </w:rPr>
        <w:fldChar w:fldCharType="begin"/>
      </w:r>
      <w:r>
        <w:rPr>
          <w:color w:val="auto"/>
          <w:highlight w:val="none"/>
        </w:rPr>
        <w:instrText xml:space="preserve"> PAGEREF _Toc10513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"_Toc9245" </w:instrText>
      </w:r>
      <w:r>
        <w:rPr>
          <w:color w:val="auto"/>
          <w:highlight w:val="none"/>
        </w:rPr>
        <w:fldChar w:fldCharType="separate"/>
      </w:r>
      <w:r>
        <w:rPr>
          <w:rFonts w:hint="eastAsia" w:ascii="宋体" w:hAnsi="宋体"/>
          <w:color w:val="auto"/>
          <w:highlight w:val="none"/>
        </w:rPr>
        <w:t>14.4 采购人索赔的提出</w:t>
      </w:r>
      <w:r>
        <w:rPr>
          <w:color w:val="auto"/>
          <w:highlight w:val="none"/>
        </w:rPr>
        <w:tab/>
      </w:r>
      <w:r>
        <w:rPr>
          <w:color w:val="auto"/>
          <w:highlight w:val="none"/>
        </w:rPr>
        <w:fldChar w:fldCharType="begin"/>
      </w:r>
      <w:r>
        <w:rPr>
          <w:color w:val="auto"/>
          <w:highlight w:val="none"/>
        </w:rPr>
        <w:instrText xml:space="preserve"> PAGEREF _Toc9245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"_Toc5229" </w:instrText>
      </w:r>
      <w:r>
        <w:rPr>
          <w:color w:val="auto"/>
          <w:highlight w:val="none"/>
        </w:rPr>
        <w:fldChar w:fldCharType="separate"/>
      </w:r>
      <w:r>
        <w:rPr>
          <w:rFonts w:hint="eastAsia" w:ascii="宋体" w:hAnsi="宋体"/>
          <w:color w:val="auto"/>
          <w:highlight w:val="none"/>
        </w:rPr>
        <w:t>14.5 采购人索赔处理程序</w:t>
      </w:r>
      <w:r>
        <w:rPr>
          <w:color w:val="auto"/>
          <w:highlight w:val="none"/>
        </w:rPr>
        <w:tab/>
      </w:r>
      <w:r>
        <w:rPr>
          <w:color w:val="auto"/>
          <w:highlight w:val="none"/>
        </w:rPr>
        <w:fldChar w:fldCharType="begin"/>
      </w:r>
      <w:r>
        <w:rPr>
          <w:color w:val="auto"/>
          <w:highlight w:val="none"/>
        </w:rPr>
        <w:instrText xml:space="preserve"> PAGEREF _Toc5229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"_Toc19090" </w:instrText>
      </w:r>
      <w:r>
        <w:rPr>
          <w:color w:val="auto"/>
          <w:highlight w:val="none"/>
        </w:rPr>
        <w:fldChar w:fldCharType="separate"/>
      </w:r>
      <w:r>
        <w:rPr>
          <w:rFonts w:hint="eastAsia" w:ascii="宋体" w:hAnsi="宋体"/>
          <w:color w:val="auto"/>
          <w:szCs w:val="28"/>
          <w:highlight w:val="none"/>
        </w:rPr>
        <w:t>15. 争议的解决</w:t>
      </w:r>
      <w:r>
        <w:rPr>
          <w:color w:val="auto"/>
          <w:highlight w:val="none"/>
        </w:rPr>
        <w:tab/>
      </w:r>
      <w:r>
        <w:rPr>
          <w:color w:val="auto"/>
          <w:highlight w:val="none"/>
        </w:rPr>
        <w:fldChar w:fldCharType="begin"/>
      </w:r>
      <w:r>
        <w:rPr>
          <w:color w:val="auto"/>
          <w:highlight w:val="none"/>
        </w:rPr>
        <w:instrText xml:space="preserve"> PAGEREF _Toc19090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"_Toc20631" </w:instrText>
      </w:r>
      <w:r>
        <w:rPr>
          <w:color w:val="auto"/>
          <w:highlight w:val="none"/>
        </w:rPr>
        <w:fldChar w:fldCharType="separate"/>
      </w:r>
      <w:r>
        <w:rPr>
          <w:rFonts w:hint="eastAsia" w:ascii="宋体" w:hAnsi="宋体"/>
          <w:color w:val="auto"/>
          <w:highlight w:val="none"/>
        </w:rPr>
        <w:t>15.1 争议的解决方式</w:t>
      </w:r>
      <w:r>
        <w:rPr>
          <w:color w:val="auto"/>
          <w:highlight w:val="none"/>
        </w:rPr>
        <w:tab/>
      </w:r>
      <w:r>
        <w:rPr>
          <w:color w:val="auto"/>
          <w:highlight w:val="none"/>
        </w:rPr>
        <w:fldChar w:fldCharType="begin"/>
      </w:r>
      <w:r>
        <w:rPr>
          <w:color w:val="auto"/>
          <w:highlight w:val="none"/>
        </w:rPr>
        <w:instrText xml:space="preserve"> PAGEREF _Toc20631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"_Toc19481" </w:instrText>
      </w:r>
      <w:r>
        <w:rPr>
          <w:color w:val="auto"/>
          <w:highlight w:val="none"/>
        </w:rPr>
        <w:fldChar w:fldCharType="separate"/>
      </w:r>
      <w:r>
        <w:rPr>
          <w:rFonts w:hint="eastAsia" w:ascii="宋体" w:hAnsi="宋体"/>
          <w:color w:val="auto"/>
          <w:highlight w:val="none"/>
        </w:rPr>
        <w:t>15.2 友好解决</w:t>
      </w:r>
      <w:r>
        <w:rPr>
          <w:color w:val="auto"/>
          <w:highlight w:val="none"/>
        </w:rPr>
        <w:tab/>
      </w:r>
      <w:r>
        <w:rPr>
          <w:color w:val="auto"/>
          <w:highlight w:val="none"/>
        </w:rPr>
        <w:fldChar w:fldCharType="begin"/>
      </w:r>
      <w:r>
        <w:rPr>
          <w:color w:val="auto"/>
          <w:highlight w:val="none"/>
        </w:rPr>
        <w:instrText xml:space="preserve"> PAGEREF _Toc19481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"_Toc23569" </w:instrText>
      </w:r>
      <w:r>
        <w:rPr>
          <w:color w:val="auto"/>
          <w:highlight w:val="none"/>
        </w:rPr>
        <w:fldChar w:fldCharType="separate"/>
      </w:r>
      <w:r>
        <w:rPr>
          <w:rFonts w:hint="eastAsia"/>
          <w:color w:val="auto"/>
          <w:highlight w:val="none"/>
        </w:rPr>
        <w:t>16. 补充条款</w:t>
      </w:r>
      <w:r>
        <w:rPr>
          <w:color w:val="auto"/>
          <w:highlight w:val="none"/>
        </w:rPr>
        <w:tab/>
      </w:r>
      <w:r>
        <w:rPr>
          <w:color w:val="auto"/>
          <w:highlight w:val="none"/>
        </w:rPr>
        <w:fldChar w:fldCharType="begin"/>
      </w:r>
      <w:r>
        <w:rPr>
          <w:color w:val="auto"/>
          <w:highlight w:val="none"/>
        </w:rPr>
        <w:instrText xml:space="preserve"> PAGEREF _Toc23569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"_Toc25377" </w:instrText>
      </w:r>
      <w:r>
        <w:rPr>
          <w:color w:val="auto"/>
          <w:highlight w:val="none"/>
        </w:rPr>
        <w:fldChar w:fldCharType="separate"/>
      </w:r>
      <w:r>
        <w:rPr>
          <w:rFonts w:hint="eastAsia" w:ascii="宋体" w:hAnsi="宋体"/>
          <w:color w:val="auto"/>
          <w:szCs w:val="28"/>
          <w:highlight w:val="none"/>
        </w:rPr>
        <w:t>第二节 合同附件格式</w:t>
      </w:r>
      <w:r>
        <w:rPr>
          <w:color w:val="auto"/>
          <w:highlight w:val="none"/>
        </w:rPr>
        <w:tab/>
      </w:r>
      <w:r>
        <w:rPr>
          <w:color w:val="auto"/>
          <w:highlight w:val="none"/>
        </w:rPr>
        <w:fldChar w:fldCharType="begin"/>
      </w:r>
      <w:r>
        <w:rPr>
          <w:color w:val="auto"/>
          <w:highlight w:val="none"/>
        </w:rPr>
        <w:instrText xml:space="preserve"> PAGEREF _Toc25377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"_Toc11703" </w:instrText>
      </w:r>
      <w:r>
        <w:rPr>
          <w:color w:val="auto"/>
          <w:highlight w:val="none"/>
        </w:rPr>
        <w:fldChar w:fldCharType="separate"/>
      </w:r>
      <w:r>
        <w:rPr>
          <w:rFonts w:hint="eastAsia" w:ascii="宋体" w:hAnsi="宋体"/>
          <w:color w:val="auto"/>
          <w:highlight w:val="none"/>
        </w:rPr>
        <w:t>附件一：合同协议书</w:t>
      </w:r>
      <w:r>
        <w:rPr>
          <w:color w:val="auto"/>
          <w:highlight w:val="none"/>
        </w:rPr>
        <w:tab/>
      </w:r>
      <w:r>
        <w:rPr>
          <w:color w:val="auto"/>
          <w:highlight w:val="none"/>
        </w:rPr>
        <w:fldChar w:fldCharType="begin"/>
      </w:r>
      <w:r>
        <w:rPr>
          <w:color w:val="auto"/>
          <w:highlight w:val="none"/>
        </w:rPr>
        <w:instrText xml:space="preserve"> PAGEREF _Toc11703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pPr>
        <w:pStyle w:val="45"/>
        <w:tabs>
          <w:tab w:val="right" w:leader="dot" w:pos="8561"/>
        </w:tabs>
        <w:rPr>
          <w:color w:val="auto"/>
          <w:highlight w:val="none"/>
        </w:rPr>
      </w:pPr>
      <w:r>
        <w:rPr>
          <w:color w:val="auto"/>
          <w:highlight w:val="none"/>
        </w:rPr>
        <w:fldChar w:fldCharType="begin"/>
      </w:r>
      <w:r>
        <w:rPr>
          <w:color w:val="auto"/>
          <w:highlight w:val="none"/>
        </w:rPr>
        <w:instrText xml:space="preserve"> HYPERLINK \l "_Toc24730" </w:instrText>
      </w:r>
      <w:r>
        <w:rPr>
          <w:color w:val="auto"/>
          <w:highlight w:val="none"/>
        </w:rPr>
        <w:fldChar w:fldCharType="separate"/>
      </w:r>
      <w:r>
        <w:rPr>
          <w:rFonts w:hint="eastAsia"/>
          <w:color w:val="auto"/>
          <w:kern w:val="44"/>
          <w:szCs w:val="48"/>
          <w:highlight w:val="none"/>
        </w:rPr>
        <w:t>第五章  响应文件</w:t>
      </w:r>
      <w:r>
        <w:rPr>
          <w:color w:val="auto"/>
          <w:kern w:val="44"/>
          <w:szCs w:val="48"/>
          <w:highlight w:val="none"/>
        </w:rPr>
        <w:t>格式</w:t>
      </w:r>
      <w:r>
        <w:rPr>
          <w:color w:val="auto"/>
          <w:highlight w:val="none"/>
        </w:rPr>
        <w:tab/>
      </w:r>
      <w:r>
        <w:rPr>
          <w:color w:val="auto"/>
          <w:highlight w:val="none"/>
        </w:rPr>
        <w:fldChar w:fldCharType="begin"/>
      </w:r>
      <w:r>
        <w:rPr>
          <w:color w:val="auto"/>
          <w:highlight w:val="none"/>
        </w:rPr>
        <w:instrText xml:space="preserve"> PAGEREF _Toc24730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"_Toc14898" </w:instrText>
      </w:r>
      <w:r>
        <w:rPr>
          <w:color w:val="auto"/>
          <w:highlight w:val="none"/>
        </w:rPr>
        <w:fldChar w:fldCharType="separate"/>
      </w:r>
      <w:r>
        <w:rPr>
          <w:rFonts w:hint="eastAsia" w:ascii="宋体" w:hAnsi="宋体"/>
          <w:color w:val="auto"/>
          <w:szCs w:val="28"/>
          <w:highlight w:val="none"/>
        </w:rPr>
        <w:t>一、 响应</w:t>
      </w:r>
      <w:r>
        <w:rPr>
          <w:rFonts w:ascii="宋体" w:hAnsi="宋体"/>
          <w:color w:val="auto"/>
          <w:szCs w:val="28"/>
          <w:highlight w:val="none"/>
        </w:rPr>
        <w:t>函</w:t>
      </w:r>
      <w:r>
        <w:rPr>
          <w:color w:val="auto"/>
          <w:highlight w:val="none"/>
        </w:rPr>
        <w:tab/>
      </w:r>
      <w:r>
        <w:rPr>
          <w:color w:val="auto"/>
          <w:highlight w:val="none"/>
        </w:rPr>
        <w:fldChar w:fldCharType="begin"/>
      </w:r>
      <w:r>
        <w:rPr>
          <w:color w:val="auto"/>
          <w:highlight w:val="none"/>
        </w:rPr>
        <w:instrText xml:space="preserve"> PAGEREF _Toc14898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"_Toc6164" </w:instrText>
      </w:r>
      <w:r>
        <w:rPr>
          <w:color w:val="auto"/>
          <w:highlight w:val="none"/>
        </w:rPr>
        <w:fldChar w:fldCharType="separate"/>
      </w:r>
      <w:r>
        <w:rPr>
          <w:rFonts w:hint="eastAsia" w:ascii="宋体" w:hAnsi="宋体"/>
          <w:color w:val="auto"/>
          <w:szCs w:val="28"/>
          <w:highlight w:val="none"/>
        </w:rPr>
        <w:t>二、</w:t>
      </w:r>
      <w:r>
        <w:rPr>
          <w:rFonts w:ascii="宋体" w:hAnsi="宋体"/>
          <w:color w:val="auto"/>
          <w:szCs w:val="28"/>
          <w:highlight w:val="none"/>
        </w:rPr>
        <w:t>法定代表人身份证明</w:t>
      </w:r>
      <w:r>
        <w:rPr>
          <w:rFonts w:hint="eastAsia" w:ascii="宋体" w:hAnsi="宋体"/>
          <w:color w:val="auto"/>
          <w:szCs w:val="28"/>
          <w:highlight w:val="none"/>
        </w:rPr>
        <w:t>或法定代表人的</w:t>
      </w:r>
      <w:r>
        <w:rPr>
          <w:rFonts w:ascii="宋体" w:hAnsi="宋体"/>
          <w:color w:val="auto"/>
          <w:szCs w:val="28"/>
          <w:highlight w:val="none"/>
        </w:rPr>
        <w:t>授权委托书</w:t>
      </w:r>
      <w:r>
        <w:rPr>
          <w:color w:val="auto"/>
          <w:highlight w:val="none"/>
        </w:rPr>
        <w:tab/>
      </w:r>
      <w:r>
        <w:rPr>
          <w:color w:val="auto"/>
          <w:highlight w:val="none"/>
        </w:rPr>
        <w:fldChar w:fldCharType="begin"/>
      </w:r>
      <w:r>
        <w:rPr>
          <w:color w:val="auto"/>
          <w:highlight w:val="none"/>
        </w:rPr>
        <w:instrText xml:space="preserve"> PAGEREF _Toc6164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"_Toc14877" </w:instrText>
      </w:r>
      <w:r>
        <w:rPr>
          <w:color w:val="auto"/>
          <w:highlight w:val="none"/>
        </w:rPr>
        <w:fldChar w:fldCharType="separate"/>
      </w:r>
      <w:r>
        <w:rPr>
          <w:rFonts w:hint="eastAsia" w:ascii="宋体" w:hAnsi="宋体"/>
          <w:color w:val="auto"/>
          <w:szCs w:val="28"/>
          <w:highlight w:val="none"/>
        </w:rPr>
        <w:t>三</w:t>
      </w:r>
      <w:r>
        <w:rPr>
          <w:rFonts w:ascii="宋体" w:hAnsi="宋体"/>
          <w:color w:val="auto"/>
          <w:szCs w:val="28"/>
          <w:highlight w:val="none"/>
        </w:rPr>
        <w:t>、资格审查</w:t>
      </w:r>
      <w:r>
        <w:rPr>
          <w:rFonts w:hint="eastAsia" w:ascii="宋体" w:hAnsi="宋体"/>
          <w:color w:val="auto"/>
          <w:szCs w:val="28"/>
          <w:highlight w:val="none"/>
        </w:rPr>
        <w:t>资料</w:t>
      </w:r>
      <w:r>
        <w:rPr>
          <w:color w:val="auto"/>
          <w:highlight w:val="none"/>
        </w:rPr>
        <w:tab/>
      </w:r>
      <w:r>
        <w:rPr>
          <w:color w:val="auto"/>
          <w:highlight w:val="none"/>
        </w:rPr>
        <w:fldChar w:fldCharType="begin"/>
      </w:r>
      <w:r>
        <w:rPr>
          <w:color w:val="auto"/>
          <w:highlight w:val="none"/>
        </w:rPr>
        <w:instrText xml:space="preserve"> PAGEREF _Toc14877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"_Toc28134" </w:instrText>
      </w:r>
      <w:r>
        <w:rPr>
          <w:color w:val="auto"/>
          <w:highlight w:val="none"/>
        </w:rPr>
        <w:fldChar w:fldCharType="separate"/>
      </w:r>
      <w:r>
        <w:rPr>
          <w:rFonts w:hint="eastAsia" w:ascii="宋体" w:hAnsi="宋体"/>
          <w:color w:val="auto"/>
          <w:highlight w:val="none"/>
        </w:rPr>
        <w:t>（一）响应人</w:t>
      </w:r>
      <w:r>
        <w:rPr>
          <w:rFonts w:ascii="宋体" w:hAnsi="宋体"/>
          <w:color w:val="auto"/>
          <w:highlight w:val="none"/>
        </w:rPr>
        <w:t>基本情况表</w:t>
      </w:r>
      <w:r>
        <w:rPr>
          <w:color w:val="auto"/>
          <w:highlight w:val="none"/>
        </w:rPr>
        <w:tab/>
      </w:r>
      <w:r>
        <w:rPr>
          <w:color w:val="auto"/>
          <w:highlight w:val="none"/>
        </w:rPr>
        <w:fldChar w:fldCharType="begin"/>
      </w:r>
      <w:r>
        <w:rPr>
          <w:color w:val="auto"/>
          <w:highlight w:val="none"/>
        </w:rPr>
        <w:instrText xml:space="preserve"> PAGEREF _Toc28134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"_Toc24078" </w:instrText>
      </w:r>
      <w:r>
        <w:rPr>
          <w:color w:val="auto"/>
          <w:highlight w:val="none"/>
        </w:rPr>
        <w:fldChar w:fldCharType="separate"/>
      </w:r>
      <w:r>
        <w:rPr>
          <w:rFonts w:hint="eastAsia" w:ascii="宋体" w:hAnsi="宋体"/>
          <w:color w:val="auto"/>
          <w:highlight w:val="none"/>
        </w:rPr>
        <w:t>（二）</w:t>
      </w:r>
      <w:r>
        <w:rPr>
          <w:rFonts w:ascii="宋体" w:hAnsi="宋体"/>
          <w:color w:val="auto"/>
          <w:highlight w:val="none"/>
        </w:rPr>
        <w:t>近年</w:t>
      </w:r>
      <w:r>
        <w:rPr>
          <w:rFonts w:hint="eastAsia" w:ascii="宋体" w:hAnsi="宋体"/>
          <w:color w:val="auto"/>
          <w:highlight w:val="none"/>
        </w:rPr>
        <w:t>完成的</w:t>
      </w:r>
      <w:r>
        <w:rPr>
          <w:rFonts w:ascii="宋体" w:hAnsi="宋体"/>
          <w:color w:val="auto"/>
          <w:highlight w:val="none"/>
        </w:rPr>
        <w:t>类似项目情况表</w:t>
      </w:r>
      <w:r>
        <w:rPr>
          <w:color w:val="auto"/>
          <w:highlight w:val="none"/>
        </w:rPr>
        <w:tab/>
      </w:r>
      <w:r>
        <w:rPr>
          <w:color w:val="auto"/>
          <w:highlight w:val="none"/>
        </w:rPr>
        <w:fldChar w:fldCharType="begin"/>
      </w:r>
      <w:r>
        <w:rPr>
          <w:color w:val="auto"/>
          <w:highlight w:val="none"/>
        </w:rPr>
        <w:instrText xml:space="preserve"> PAGEREF _Toc24078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"_Toc8064" </w:instrText>
      </w:r>
      <w:r>
        <w:rPr>
          <w:color w:val="auto"/>
          <w:highlight w:val="none"/>
        </w:rPr>
        <w:fldChar w:fldCharType="separate"/>
      </w:r>
      <w:r>
        <w:rPr>
          <w:rFonts w:hint="eastAsia" w:ascii="宋体" w:hAnsi="宋体"/>
          <w:color w:val="auto"/>
          <w:highlight w:val="none"/>
        </w:rPr>
        <w:t>（三） 履约信誉情况表</w:t>
      </w:r>
      <w:r>
        <w:rPr>
          <w:color w:val="auto"/>
          <w:highlight w:val="none"/>
        </w:rPr>
        <w:tab/>
      </w:r>
      <w:r>
        <w:rPr>
          <w:color w:val="auto"/>
          <w:highlight w:val="none"/>
        </w:rPr>
        <w:fldChar w:fldCharType="begin"/>
      </w:r>
      <w:r>
        <w:rPr>
          <w:color w:val="auto"/>
          <w:highlight w:val="none"/>
        </w:rPr>
        <w:instrText xml:space="preserve"> PAGEREF _Toc8064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"_Toc18463" </w:instrText>
      </w:r>
      <w:r>
        <w:rPr>
          <w:color w:val="auto"/>
          <w:highlight w:val="none"/>
        </w:rPr>
        <w:fldChar w:fldCharType="separate"/>
      </w:r>
      <w:r>
        <w:rPr>
          <w:rFonts w:hint="eastAsia" w:ascii="宋体" w:hAnsi="宋体"/>
          <w:color w:val="auto"/>
          <w:highlight w:val="none"/>
        </w:rPr>
        <w:t>（四）</w:t>
      </w:r>
      <w:r>
        <w:rPr>
          <w:rFonts w:ascii="宋体" w:hAnsi="宋体"/>
          <w:color w:val="auto"/>
          <w:highlight w:val="none"/>
        </w:rPr>
        <w:t>其他</w:t>
      </w:r>
      <w:r>
        <w:rPr>
          <w:rFonts w:hint="eastAsia" w:ascii="宋体" w:hAnsi="宋体"/>
          <w:color w:val="auto"/>
          <w:highlight w:val="none"/>
        </w:rPr>
        <w:t>资格审查资</w:t>
      </w:r>
      <w:r>
        <w:rPr>
          <w:rFonts w:ascii="宋体" w:hAnsi="宋体"/>
          <w:color w:val="auto"/>
          <w:highlight w:val="none"/>
        </w:rPr>
        <w:t>料</w:t>
      </w:r>
      <w:r>
        <w:rPr>
          <w:color w:val="auto"/>
          <w:highlight w:val="none"/>
        </w:rPr>
        <w:tab/>
      </w:r>
      <w:r>
        <w:rPr>
          <w:color w:val="auto"/>
          <w:highlight w:val="none"/>
        </w:rPr>
        <w:fldChar w:fldCharType="begin"/>
      </w:r>
      <w:r>
        <w:rPr>
          <w:color w:val="auto"/>
          <w:highlight w:val="none"/>
        </w:rPr>
        <w:instrText xml:space="preserve"> PAGEREF _Toc18463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"_Toc24401" </w:instrText>
      </w:r>
      <w:r>
        <w:rPr>
          <w:color w:val="auto"/>
          <w:highlight w:val="none"/>
        </w:rPr>
        <w:fldChar w:fldCharType="separate"/>
      </w:r>
      <w:r>
        <w:rPr>
          <w:rFonts w:hint="eastAsia" w:ascii="宋体" w:hAnsi="宋体"/>
          <w:color w:val="auto"/>
          <w:szCs w:val="28"/>
          <w:highlight w:val="none"/>
        </w:rPr>
        <w:t>四</w:t>
      </w:r>
      <w:r>
        <w:rPr>
          <w:rFonts w:ascii="宋体" w:hAnsi="宋体"/>
          <w:color w:val="auto"/>
          <w:szCs w:val="28"/>
          <w:highlight w:val="none"/>
        </w:rPr>
        <w:t xml:space="preserve">、 </w:t>
      </w:r>
      <w:r>
        <w:rPr>
          <w:rFonts w:hint="eastAsia" w:ascii="宋体" w:hAnsi="宋体"/>
          <w:color w:val="auto"/>
          <w:szCs w:val="28"/>
          <w:highlight w:val="none"/>
        </w:rPr>
        <w:t>项目管理机构</w:t>
      </w:r>
      <w:r>
        <w:rPr>
          <w:color w:val="auto"/>
          <w:highlight w:val="none"/>
        </w:rPr>
        <w:tab/>
      </w:r>
      <w:r>
        <w:rPr>
          <w:color w:val="auto"/>
          <w:highlight w:val="none"/>
        </w:rPr>
        <w:fldChar w:fldCharType="begin"/>
      </w:r>
      <w:r>
        <w:rPr>
          <w:color w:val="auto"/>
          <w:highlight w:val="none"/>
        </w:rPr>
        <w:instrText xml:space="preserve"> PAGEREF _Toc24401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"_Toc7867" </w:instrText>
      </w:r>
      <w:r>
        <w:rPr>
          <w:color w:val="auto"/>
          <w:highlight w:val="none"/>
        </w:rPr>
        <w:fldChar w:fldCharType="separate"/>
      </w:r>
      <w:r>
        <w:rPr>
          <w:rFonts w:hint="eastAsia" w:ascii="宋体" w:hAnsi="宋体"/>
          <w:color w:val="auto"/>
          <w:highlight w:val="none"/>
          <w:lang w:eastAsia="zh-CN"/>
        </w:rPr>
        <w:t>施工负责人</w:t>
      </w:r>
      <w:r>
        <w:rPr>
          <w:rFonts w:hint="eastAsia" w:ascii="宋体" w:hAnsi="宋体"/>
          <w:color w:val="auto"/>
          <w:highlight w:val="none"/>
        </w:rPr>
        <w:t>资历表</w:t>
      </w:r>
      <w:r>
        <w:rPr>
          <w:color w:val="auto"/>
          <w:highlight w:val="none"/>
        </w:rPr>
        <w:tab/>
      </w:r>
      <w:r>
        <w:rPr>
          <w:color w:val="auto"/>
          <w:highlight w:val="none"/>
        </w:rPr>
        <w:fldChar w:fldCharType="begin"/>
      </w:r>
      <w:r>
        <w:rPr>
          <w:color w:val="auto"/>
          <w:highlight w:val="none"/>
        </w:rPr>
        <w:instrText xml:space="preserve"> PAGEREF _Toc7867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"_Toc26863" </w:instrText>
      </w:r>
      <w:r>
        <w:rPr>
          <w:color w:val="auto"/>
          <w:highlight w:val="none"/>
        </w:rPr>
        <w:fldChar w:fldCharType="separate"/>
      </w:r>
      <w:r>
        <w:rPr>
          <w:rFonts w:hint="eastAsia" w:ascii="宋体" w:hAnsi="宋体"/>
          <w:color w:val="auto"/>
          <w:szCs w:val="28"/>
          <w:highlight w:val="none"/>
        </w:rPr>
        <w:t>五</w:t>
      </w:r>
      <w:r>
        <w:rPr>
          <w:rFonts w:ascii="宋体" w:hAnsi="宋体"/>
          <w:color w:val="auto"/>
          <w:szCs w:val="28"/>
          <w:highlight w:val="none"/>
        </w:rPr>
        <w:t xml:space="preserve">、 </w:t>
      </w:r>
      <w:r>
        <w:rPr>
          <w:rFonts w:hint="eastAsia" w:ascii="宋体" w:hAnsi="宋体"/>
          <w:color w:val="auto"/>
          <w:szCs w:val="28"/>
          <w:highlight w:val="none"/>
        </w:rPr>
        <w:t>施工组织</w:t>
      </w:r>
      <w:r>
        <w:rPr>
          <w:rFonts w:ascii="宋体" w:hAnsi="宋体"/>
          <w:color w:val="auto"/>
          <w:szCs w:val="28"/>
          <w:highlight w:val="none"/>
        </w:rPr>
        <w:t>方案</w:t>
      </w:r>
      <w:r>
        <w:rPr>
          <w:rFonts w:hint="eastAsia" w:ascii="宋体" w:hAnsi="宋体"/>
          <w:color w:val="auto"/>
          <w:szCs w:val="28"/>
          <w:highlight w:val="none"/>
        </w:rPr>
        <w:t>及安全措施</w:t>
      </w:r>
      <w:r>
        <w:rPr>
          <w:color w:val="auto"/>
          <w:highlight w:val="none"/>
        </w:rPr>
        <w:tab/>
      </w:r>
      <w:r>
        <w:rPr>
          <w:color w:val="auto"/>
          <w:highlight w:val="none"/>
        </w:rPr>
        <w:fldChar w:fldCharType="begin"/>
      </w:r>
      <w:r>
        <w:rPr>
          <w:color w:val="auto"/>
          <w:highlight w:val="none"/>
        </w:rPr>
        <w:instrText xml:space="preserve"> PAGEREF _Toc26863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pPr>
        <w:pStyle w:val="56"/>
        <w:tabs>
          <w:tab w:val="right" w:leader="dot" w:pos="8561"/>
        </w:tabs>
        <w:ind w:left="480"/>
        <w:rPr>
          <w:color w:val="auto"/>
          <w:highlight w:val="none"/>
        </w:rPr>
      </w:pPr>
      <w:r>
        <w:rPr>
          <w:color w:val="auto"/>
          <w:highlight w:val="none"/>
        </w:rPr>
        <w:fldChar w:fldCharType="begin"/>
      </w:r>
      <w:r>
        <w:rPr>
          <w:color w:val="auto"/>
          <w:highlight w:val="none"/>
        </w:rPr>
        <w:instrText xml:space="preserve"> HYPERLINK \l "_Toc27307" </w:instrText>
      </w:r>
      <w:r>
        <w:rPr>
          <w:color w:val="auto"/>
          <w:highlight w:val="none"/>
        </w:rPr>
        <w:fldChar w:fldCharType="separate"/>
      </w:r>
      <w:r>
        <w:rPr>
          <w:rFonts w:hint="eastAsia" w:ascii="宋体" w:hAnsi="宋体"/>
          <w:color w:val="auto"/>
          <w:szCs w:val="28"/>
          <w:highlight w:val="none"/>
        </w:rPr>
        <w:t>六、报价清单</w:t>
      </w:r>
      <w:r>
        <w:rPr>
          <w:color w:val="auto"/>
          <w:highlight w:val="none"/>
        </w:rPr>
        <w:tab/>
      </w:r>
      <w:r>
        <w:rPr>
          <w:color w:val="auto"/>
          <w:highlight w:val="none"/>
        </w:rPr>
        <w:fldChar w:fldCharType="begin"/>
      </w:r>
      <w:r>
        <w:rPr>
          <w:color w:val="auto"/>
          <w:highlight w:val="none"/>
        </w:rPr>
        <w:instrText xml:space="preserve"> PAGEREF _Toc27307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"_Toc5982" </w:instrText>
      </w:r>
      <w:r>
        <w:rPr>
          <w:color w:val="auto"/>
          <w:highlight w:val="none"/>
        </w:rPr>
        <w:fldChar w:fldCharType="separate"/>
      </w:r>
      <w:r>
        <w:rPr>
          <w:rFonts w:hint="eastAsia" w:ascii="宋体" w:hAnsi="宋体"/>
          <w:color w:val="auto"/>
          <w:highlight w:val="none"/>
        </w:rPr>
        <w:t>1. 工程量清单说明</w:t>
      </w:r>
      <w:r>
        <w:rPr>
          <w:color w:val="auto"/>
          <w:highlight w:val="none"/>
        </w:rPr>
        <w:tab/>
      </w:r>
      <w:r>
        <w:rPr>
          <w:color w:val="auto"/>
          <w:highlight w:val="none"/>
        </w:rPr>
        <w:fldChar w:fldCharType="begin"/>
      </w:r>
      <w:r>
        <w:rPr>
          <w:color w:val="auto"/>
          <w:highlight w:val="none"/>
        </w:rPr>
        <w:instrText xml:space="preserve"> PAGEREF _Toc5982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pPr>
        <w:pStyle w:val="34"/>
        <w:tabs>
          <w:tab w:val="right" w:leader="dot" w:pos="8561"/>
        </w:tabs>
        <w:ind w:left="960"/>
        <w:rPr>
          <w:color w:val="auto"/>
          <w:highlight w:val="none"/>
        </w:rPr>
      </w:pPr>
      <w:r>
        <w:rPr>
          <w:color w:val="auto"/>
          <w:highlight w:val="none"/>
        </w:rPr>
        <w:fldChar w:fldCharType="begin"/>
      </w:r>
      <w:r>
        <w:rPr>
          <w:color w:val="auto"/>
          <w:highlight w:val="none"/>
        </w:rPr>
        <w:instrText xml:space="preserve"> HYPERLINK \l "_Toc17085" </w:instrText>
      </w:r>
      <w:r>
        <w:rPr>
          <w:color w:val="auto"/>
          <w:highlight w:val="none"/>
        </w:rPr>
        <w:fldChar w:fldCharType="separate"/>
      </w:r>
      <w:r>
        <w:rPr>
          <w:rFonts w:hint="eastAsia" w:ascii="宋体" w:hAnsi="宋体"/>
          <w:color w:val="auto"/>
          <w:highlight w:val="none"/>
        </w:rPr>
        <w:t>2. 工程量清单表</w:t>
      </w:r>
      <w:r>
        <w:rPr>
          <w:color w:val="auto"/>
          <w:highlight w:val="none"/>
        </w:rPr>
        <w:tab/>
      </w:r>
      <w:r>
        <w:rPr>
          <w:color w:val="auto"/>
          <w:highlight w:val="none"/>
        </w:rPr>
        <w:fldChar w:fldCharType="begin"/>
      </w:r>
      <w:r>
        <w:rPr>
          <w:color w:val="auto"/>
          <w:highlight w:val="none"/>
        </w:rPr>
        <w:instrText xml:space="preserve"> PAGEREF _Toc17085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pPr>
        <w:jc w:val="center"/>
        <w:rPr>
          <w:color w:val="auto"/>
          <w:sz w:val="30"/>
          <w:szCs w:val="30"/>
          <w:highlight w:val="none"/>
        </w:rPr>
      </w:pPr>
      <w:r>
        <w:rPr>
          <w:color w:val="auto"/>
          <w:sz w:val="30"/>
          <w:szCs w:val="30"/>
          <w:highlight w:val="none"/>
        </w:rPr>
        <w:fldChar w:fldCharType="end"/>
      </w:r>
    </w:p>
    <w:p>
      <w:pPr>
        <w:spacing w:line="288" w:lineRule="auto"/>
        <w:jc w:val="center"/>
        <w:rPr>
          <w:rFonts w:ascii="Times New Roman" w:hAnsi="Times New Roman"/>
          <w:color w:val="auto"/>
          <w:highlight w:val="none"/>
        </w:rPr>
        <w:sectPr>
          <w:headerReference r:id="rId3" w:type="default"/>
          <w:footerReference r:id="rId4" w:type="default"/>
          <w:footnotePr>
            <w:numFmt w:val="decimalEnclosedCircleChinese"/>
            <w:numRestart w:val="eachPage"/>
          </w:footnotePr>
          <w:pgSz w:w="11906" w:h="16838"/>
          <w:pgMar w:top="1588" w:right="1644" w:bottom="1474" w:left="1701" w:header="1134" w:footer="1418" w:gutter="0"/>
          <w:pgNumType w:start="1"/>
          <w:cols w:space="720" w:num="1"/>
          <w:docGrid w:linePitch="312" w:charSpace="0"/>
        </w:sectPr>
      </w:pPr>
    </w:p>
    <w:p>
      <w:pPr>
        <w:spacing w:line="288" w:lineRule="auto"/>
        <w:rPr>
          <w:rFonts w:ascii="Times New Roman" w:hAnsi="Times New Roman"/>
          <w:color w:val="auto"/>
          <w:highlight w:val="none"/>
        </w:rPr>
      </w:pPr>
    </w:p>
    <w:p>
      <w:pPr>
        <w:pStyle w:val="3"/>
        <w:spacing w:before="120" w:after="240"/>
        <w:rPr>
          <w:color w:val="auto"/>
          <w:kern w:val="44"/>
          <w:sz w:val="48"/>
          <w:szCs w:val="48"/>
          <w:highlight w:val="none"/>
        </w:rPr>
      </w:pPr>
      <w:bookmarkStart w:id="2" w:name="_Toc244542152"/>
      <w:bookmarkStart w:id="3" w:name="_Toc6825"/>
      <w:bookmarkStart w:id="4" w:name="_Toc244542153"/>
      <w:r>
        <w:rPr>
          <w:color w:val="auto"/>
          <w:kern w:val="44"/>
          <w:sz w:val="48"/>
          <w:szCs w:val="48"/>
          <w:highlight w:val="none"/>
        </w:rPr>
        <w:t>第</w:t>
      </w:r>
      <w:r>
        <w:rPr>
          <w:rFonts w:hint="eastAsia"/>
          <w:color w:val="auto"/>
          <w:kern w:val="44"/>
          <w:sz w:val="48"/>
          <w:szCs w:val="48"/>
          <w:highlight w:val="none"/>
        </w:rPr>
        <w:t>一</w:t>
      </w:r>
      <w:r>
        <w:rPr>
          <w:color w:val="auto"/>
          <w:kern w:val="44"/>
          <w:sz w:val="48"/>
          <w:szCs w:val="48"/>
          <w:highlight w:val="none"/>
        </w:rPr>
        <w:t xml:space="preserve">章  </w:t>
      </w:r>
      <w:bookmarkEnd w:id="2"/>
      <w:r>
        <w:rPr>
          <w:rFonts w:hint="eastAsia"/>
          <w:color w:val="auto"/>
          <w:kern w:val="44"/>
          <w:sz w:val="48"/>
          <w:szCs w:val="48"/>
          <w:highlight w:val="none"/>
        </w:rPr>
        <w:t>采购公告</w:t>
      </w:r>
      <w:bookmarkEnd w:id="3"/>
    </w:p>
    <w:p>
      <w:pPr>
        <w:spacing w:before="120" w:beforeLines="50" w:line="360" w:lineRule="auto"/>
        <w:jc w:val="center"/>
        <w:rPr>
          <w:rFonts w:ascii="宋体" w:hAnsi="宋体"/>
          <w:color w:val="auto"/>
          <w:highlight w:val="none"/>
          <w:u w:val="single"/>
        </w:rPr>
      </w:pPr>
      <w:r>
        <w:rPr>
          <w:rFonts w:hint="eastAsia" w:ascii="黑体" w:hAnsi="宋体" w:eastAsia="黑体"/>
          <w:color w:val="auto"/>
          <w:sz w:val="32"/>
          <w:szCs w:val="32"/>
          <w:highlight w:val="none"/>
          <w:lang w:eastAsia="zh-CN"/>
        </w:rPr>
        <w:t>上固服务区车棚</w:t>
      </w:r>
      <w:r>
        <w:rPr>
          <w:rFonts w:hint="eastAsia" w:ascii="黑体" w:hAnsi="宋体" w:eastAsia="黑体"/>
          <w:color w:val="auto"/>
          <w:sz w:val="32"/>
          <w:szCs w:val="32"/>
          <w:highlight w:val="none"/>
        </w:rPr>
        <w:t>分布式光伏电站施工项目</w:t>
      </w:r>
    </w:p>
    <w:p>
      <w:pPr>
        <w:pStyle w:val="4"/>
        <w:spacing w:before="240" w:after="120" w:line="360" w:lineRule="auto"/>
        <w:jc w:val="both"/>
        <w:rPr>
          <w:rFonts w:ascii="宋体" w:hAnsi="宋体"/>
          <w:color w:val="auto"/>
          <w:sz w:val="28"/>
          <w:szCs w:val="28"/>
          <w:highlight w:val="none"/>
        </w:rPr>
      </w:pPr>
      <w:bookmarkStart w:id="5" w:name="_Toc14227"/>
      <w:r>
        <w:rPr>
          <w:rFonts w:hint="eastAsia" w:ascii="宋体" w:hAnsi="宋体"/>
          <w:color w:val="auto"/>
          <w:sz w:val="28"/>
          <w:szCs w:val="28"/>
          <w:highlight w:val="none"/>
        </w:rPr>
        <w:t>1. 采购项目基本情况及要求</w:t>
      </w:r>
      <w:bookmarkEnd w:id="5"/>
    </w:p>
    <w:p>
      <w:pPr>
        <w:pStyle w:val="5"/>
        <w:spacing w:before="120" w:after="120" w:line="360" w:lineRule="auto"/>
        <w:jc w:val="left"/>
        <w:rPr>
          <w:rFonts w:ascii="宋体" w:hAnsi="宋体"/>
          <w:color w:val="auto"/>
          <w:sz w:val="24"/>
          <w:szCs w:val="24"/>
          <w:highlight w:val="none"/>
        </w:rPr>
      </w:pPr>
      <w:bookmarkStart w:id="6" w:name="_Toc415587229"/>
      <w:bookmarkStart w:id="7" w:name="_Toc9798"/>
      <w:r>
        <w:rPr>
          <w:rFonts w:hint="eastAsia" w:ascii="宋体" w:hAnsi="宋体"/>
          <w:color w:val="auto"/>
          <w:sz w:val="24"/>
          <w:szCs w:val="24"/>
          <w:highlight w:val="none"/>
        </w:rPr>
        <w:t>1.1项目概况</w:t>
      </w:r>
      <w:bookmarkEnd w:id="6"/>
      <w:bookmarkEnd w:id="7"/>
    </w:p>
    <w:p>
      <w:pPr>
        <w:pStyle w:val="128"/>
        <w:snapToGrid w:val="0"/>
        <w:spacing w:line="360" w:lineRule="auto"/>
        <w:ind w:firstLine="482"/>
        <w:rPr>
          <w:rFonts w:ascii="宋体" w:hAnsi="宋体"/>
          <w:color w:val="auto"/>
          <w:szCs w:val="24"/>
          <w:highlight w:val="none"/>
        </w:rPr>
      </w:pPr>
      <w:r>
        <w:rPr>
          <w:rFonts w:hint="eastAsia" w:ascii="宋体" w:hAnsi="宋体"/>
          <w:color w:val="auto"/>
          <w:szCs w:val="24"/>
          <w:highlight w:val="none"/>
        </w:rPr>
        <w:t>我司于2016年在</w:t>
      </w:r>
      <w:r>
        <w:rPr>
          <w:rFonts w:hint="eastAsia" w:ascii="宋体" w:hAnsi="宋体"/>
          <w:color w:val="auto"/>
          <w:szCs w:val="24"/>
          <w:highlight w:val="none"/>
          <w:lang w:eastAsia="zh-CN"/>
        </w:rPr>
        <w:t>江西畅行公司吉安分公司上固服务</w:t>
      </w:r>
      <w:r>
        <w:rPr>
          <w:rFonts w:hint="eastAsia" w:ascii="宋体" w:hAnsi="宋体"/>
          <w:color w:val="auto"/>
          <w:szCs w:val="24"/>
          <w:highlight w:val="none"/>
        </w:rPr>
        <w:t>建设了1</w:t>
      </w:r>
      <w:r>
        <w:rPr>
          <w:rFonts w:hint="eastAsia" w:ascii="宋体" w:hAnsi="宋体"/>
          <w:color w:val="auto"/>
          <w:szCs w:val="24"/>
          <w:highlight w:val="none"/>
          <w:lang w:val="en-US" w:eastAsia="zh-CN"/>
        </w:rPr>
        <w:t>28</w:t>
      </w:r>
      <w:r>
        <w:rPr>
          <w:rFonts w:hint="eastAsia" w:ascii="宋体" w:hAnsi="宋体"/>
          <w:color w:val="auto"/>
          <w:szCs w:val="24"/>
          <w:highlight w:val="none"/>
        </w:rPr>
        <w:t>kW光伏电站，并于2017年年初经相关部门验收合格并网发电运行；现拟将</w:t>
      </w:r>
      <w:r>
        <w:rPr>
          <w:rFonts w:hint="eastAsia" w:ascii="宋体" w:hAnsi="宋体"/>
          <w:color w:val="auto"/>
          <w:szCs w:val="24"/>
          <w:highlight w:val="none"/>
          <w:lang w:eastAsia="zh-CN"/>
        </w:rPr>
        <w:t>上固服务区闲置车位上建设光伏发电车棚</w:t>
      </w:r>
      <w:r>
        <w:rPr>
          <w:rFonts w:hint="eastAsia" w:ascii="宋体" w:hAnsi="宋体"/>
          <w:color w:val="auto"/>
          <w:szCs w:val="24"/>
          <w:highlight w:val="none"/>
        </w:rPr>
        <w:t>。项目业主和采购人为江西省高速电建新能源有限责任公司，建设资金已落实。现对该建设的光伏发电项目施工进行公开询价。</w:t>
      </w:r>
    </w:p>
    <w:p>
      <w:pPr>
        <w:pStyle w:val="5"/>
        <w:spacing w:before="120" w:after="120" w:line="240" w:lineRule="auto"/>
        <w:jc w:val="left"/>
        <w:rPr>
          <w:rFonts w:ascii="宋体" w:hAnsi="宋体"/>
          <w:color w:val="auto"/>
          <w:sz w:val="24"/>
          <w:szCs w:val="24"/>
          <w:highlight w:val="none"/>
        </w:rPr>
      </w:pPr>
      <w:bookmarkStart w:id="8" w:name="_Toc24967"/>
      <w:r>
        <w:rPr>
          <w:rFonts w:hint="eastAsia" w:ascii="宋体" w:hAnsi="宋体"/>
          <w:color w:val="auto"/>
          <w:sz w:val="24"/>
          <w:szCs w:val="24"/>
          <w:highlight w:val="none"/>
        </w:rPr>
        <w:t>1.2采购范围</w:t>
      </w:r>
      <w:bookmarkEnd w:id="8"/>
    </w:p>
    <w:p>
      <w:pPr>
        <w:pStyle w:val="128"/>
        <w:snapToGrid w:val="0"/>
        <w:spacing w:after="120" w:afterLines="50" w:line="360" w:lineRule="auto"/>
        <w:ind w:firstLine="482"/>
        <w:rPr>
          <w:rFonts w:ascii="宋体" w:hAnsi="宋体"/>
          <w:color w:val="auto"/>
          <w:szCs w:val="24"/>
          <w:highlight w:val="none"/>
        </w:rPr>
      </w:pPr>
      <w:bookmarkStart w:id="9" w:name="_Toc415587231"/>
      <w:r>
        <w:rPr>
          <w:rFonts w:hint="eastAsia" w:ascii="宋体" w:hAnsi="宋体"/>
          <w:color w:val="auto"/>
          <w:kern w:val="2"/>
          <w:szCs w:val="24"/>
          <w:highlight w:val="none"/>
          <w:lang w:val="en-US" w:eastAsia="zh-CN"/>
        </w:rPr>
        <w:t>包含但不限于上固服务区分布式光伏电站建设总容量45.24kW，勘察、设计、材料采购（组件、逆变器、并网柜为甲供）及施工等全过程施工。上固服务区在指定车棚重新建设部分光伏发电并接入原电站系统</w:t>
      </w:r>
      <w:r>
        <w:rPr>
          <w:rFonts w:hint="eastAsia" w:ascii="宋体" w:hAnsi="宋体"/>
          <w:color w:val="auto"/>
          <w:kern w:val="2"/>
          <w:szCs w:val="24"/>
          <w:highlight w:val="none"/>
        </w:rPr>
        <w:t>。</w:t>
      </w:r>
    </w:p>
    <w:p>
      <w:pPr>
        <w:pStyle w:val="5"/>
        <w:spacing w:before="120" w:beforeLines="50" w:after="0" w:line="360" w:lineRule="auto"/>
        <w:jc w:val="left"/>
        <w:rPr>
          <w:rFonts w:ascii="宋体" w:hAnsi="宋体"/>
          <w:color w:val="auto"/>
          <w:sz w:val="24"/>
          <w:szCs w:val="24"/>
          <w:highlight w:val="none"/>
        </w:rPr>
      </w:pPr>
      <w:bookmarkStart w:id="10" w:name="_Toc21159"/>
      <w:r>
        <w:rPr>
          <w:rFonts w:hint="eastAsia" w:ascii="宋体" w:hAnsi="宋体"/>
          <w:color w:val="auto"/>
          <w:sz w:val="24"/>
          <w:szCs w:val="24"/>
          <w:highlight w:val="none"/>
        </w:rPr>
        <w:t>1.3计划工期</w:t>
      </w:r>
      <w:bookmarkEnd w:id="9"/>
      <w:bookmarkEnd w:id="10"/>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计划总</w:t>
      </w:r>
      <w:r>
        <w:rPr>
          <w:rFonts w:hint="eastAsia" w:ascii="宋体" w:hAnsi="宋体"/>
          <w:color w:val="auto"/>
          <w:szCs w:val="24"/>
          <w:highlight w:val="none"/>
          <w:lang w:eastAsia="zh-CN"/>
        </w:rPr>
        <w:t>工期</w:t>
      </w:r>
      <w:r>
        <w:rPr>
          <w:rFonts w:hint="eastAsia" w:ascii="宋体" w:hAnsi="宋体"/>
          <w:color w:val="auto"/>
          <w:szCs w:val="24"/>
          <w:highlight w:val="none"/>
          <w:lang w:val="en-US" w:eastAsia="zh-CN"/>
        </w:rPr>
        <w:t>30</w:t>
      </w:r>
      <w:r>
        <w:rPr>
          <w:rFonts w:hint="eastAsia" w:ascii="宋体" w:hAnsi="宋体"/>
          <w:color w:val="auto"/>
          <w:szCs w:val="24"/>
          <w:highlight w:val="none"/>
        </w:rPr>
        <w:t>日历天；</w:t>
      </w:r>
    </w:p>
    <w:p>
      <w:pPr>
        <w:ind w:firstLine="480" w:firstLineChars="200"/>
        <w:rPr>
          <w:color w:val="auto"/>
          <w:highlight w:val="none"/>
        </w:rPr>
      </w:pPr>
      <w:r>
        <w:rPr>
          <w:rFonts w:hint="eastAsia"/>
          <w:color w:val="auto"/>
          <w:highlight w:val="none"/>
        </w:rPr>
        <w:t>计划周期自施工进场之日起计算。</w:t>
      </w:r>
    </w:p>
    <w:p>
      <w:pPr>
        <w:pStyle w:val="5"/>
        <w:spacing w:before="120" w:after="120" w:line="240" w:lineRule="auto"/>
        <w:jc w:val="left"/>
        <w:rPr>
          <w:rFonts w:ascii="宋体" w:hAnsi="宋体"/>
          <w:color w:val="auto"/>
          <w:sz w:val="24"/>
          <w:szCs w:val="24"/>
          <w:highlight w:val="none"/>
        </w:rPr>
      </w:pPr>
      <w:bookmarkStart w:id="11" w:name="_Toc11214"/>
      <w:r>
        <w:rPr>
          <w:rFonts w:hint="eastAsia" w:ascii="宋体" w:hAnsi="宋体"/>
          <w:color w:val="auto"/>
          <w:sz w:val="24"/>
          <w:szCs w:val="24"/>
          <w:highlight w:val="none"/>
        </w:rPr>
        <w:t>1.4 承包商</w:t>
      </w:r>
      <w:r>
        <w:rPr>
          <w:rFonts w:ascii="宋体" w:hAnsi="宋体"/>
          <w:color w:val="auto"/>
          <w:sz w:val="24"/>
          <w:szCs w:val="24"/>
          <w:highlight w:val="none"/>
        </w:rPr>
        <w:t>资格要求</w:t>
      </w:r>
      <w:bookmarkEnd w:id="11"/>
    </w:p>
    <w:p>
      <w:pPr>
        <w:spacing w:line="360" w:lineRule="auto"/>
        <w:ind w:firstLine="480" w:firstLineChars="200"/>
        <w:rPr>
          <w:rFonts w:ascii="宋体" w:hAnsi="宋体"/>
          <w:color w:val="auto"/>
          <w:kern w:val="0"/>
          <w:szCs w:val="24"/>
          <w:highlight w:val="none"/>
        </w:rPr>
      </w:pPr>
      <w:r>
        <w:rPr>
          <w:rFonts w:hint="eastAsia" w:ascii="宋体" w:hAnsi="宋体"/>
          <w:color w:val="auto"/>
          <w:kern w:val="0"/>
          <w:szCs w:val="24"/>
          <w:highlight w:val="none"/>
        </w:rPr>
        <w:t>响应人应同时满足以下条件：</w:t>
      </w:r>
    </w:p>
    <w:p>
      <w:pPr>
        <w:adjustRightInd w:val="0"/>
        <w:snapToGrid w:val="0"/>
        <w:spacing w:line="480" w:lineRule="exact"/>
        <w:ind w:firstLine="482"/>
        <w:rPr>
          <w:rFonts w:ascii="宋体" w:hAnsi="宋体"/>
          <w:color w:val="auto"/>
          <w:highlight w:val="none"/>
        </w:rPr>
      </w:pPr>
      <w:r>
        <w:rPr>
          <w:rFonts w:hint="eastAsia" w:ascii="宋体" w:hAnsi="宋体"/>
          <w:color w:val="auto"/>
          <w:highlight w:val="none"/>
        </w:rPr>
        <w:t>（1）具有独立法人资格，持有有效的营业执照；</w:t>
      </w:r>
    </w:p>
    <w:p>
      <w:pPr>
        <w:adjustRightInd w:val="0"/>
        <w:snapToGrid w:val="0"/>
        <w:spacing w:line="480" w:lineRule="exact"/>
        <w:ind w:firstLine="482"/>
        <w:rPr>
          <w:rFonts w:ascii="宋体" w:hAnsi="宋体"/>
          <w:color w:val="auto"/>
          <w:highlight w:val="none"/>
        </w:rPr>
      </w:pPr>
      <w:r>
        <w:rPr>
          <w:rFonts w:hint="eastAsia" w:ascii="宋体" w:hAnsi="宋体"/>
          <w:color w:val="auto"/>
          <w:highlight w:val="none"/>
        </w:rPr>
        <w:t>（2）资质要求：</w:t>
      </w:r>
    </w:p>
    <w:p>
      <w:pPr>
        <w:adjustRightInd w:val="0"/>
        <w:snapToGrid w:val="0"/>
        <w:spacing w:line="480" w:lineRule="exact"/>
        <w:ind w:firstLine="482"/>
        <w:rPr>
          <w:rFonts w:ascii="宋体" w:hAnsi="宋体"/>
          <w:color w:val="auto"/>
          <w:highlight w:val="none"/>
        </w:rPr>
      </w:pPr>
      <w:r>
        <w:rPr>
          <w:rFonts w:hint="eastAsia" w:ascii="宋体" w:hAnsi="宋体"/>
          <w:color w:val="auto"/>
          <w:highlight w:val="none"/>
        </w:rPr>
        <w:t>施工资质：承装（修、试）电力设施四级及以上资质，或建筑机电安装工程专业承包资质三级及以上资质；</w:t>
      </w:r>
    </w:p>
    <w:p>
      <w:pPr>
        <w:pStyle w:val="2"/>
        <w:rPr>
          <w:color w:val="auto"/>
          <w:szCs w:val="21"/>
          <w:highlight w:val="none"/>
        </w:rPr>
      </w:pPr>
      <w:r>
        <w:rPr>
          <w:rFonts w:hint="eastAsia" w:ascii="宋体" w:hAnsi="宋体"/>
          <w:color w:val="auto"/>
          <w:highlight w:val="none"/>
          <w:lang w:val="en-US" w:eastAsia="zh-CN"/>
        </w:rPr>
        <w:t>施工负责</w:t>
      </w:r>
      <w:r>
        <w:rPr>
          <w:rFonts w:hint="eastAsia" w:ascii="宋体" w:hAnsi="宋体"/>
          <w:color w:val="auto"/>
          <w:highlight w:val="none"/>
        </w:rPr>
        <w:t>人：</w:t>
      </w:r>
      <w:r>
        <w:rPr>
          <w:rFonts w:hint="eastAsia"/>
          <w:color w:val="auto"/>
          <w:szCs w:val="21"/>
          <w:highlight w:val="none"/>
        </w:rPr>
        <w:t>必须具备机电或电力工程相关专业技术（含）以上技术职称。</w:t>
      </w:r>
    </w:p>
    <w:p>
      <w:pPr>
        <w:pStyle w:val="2"/>
        <w:rPr>
          <w:color w:val="auto"/>
          <w:highlight w:val="none"/>
        </w:rPr>
      </w:pPr>
      <w:r>
        <w:rPr>
          <w:rFonts w:hint="eastAsia" w:ascii="宋体" w:hAnsi="宋体"/>
          <w:color w:val="auto"/>
          <w:szCs w:val="24"/>
          <w:highlight w:val="none"/>
        </w:rPr>
        <w:t>本次采购项目设计方案采取资格后审方式，承包商</w:t>
      </w:r>
      <w:r>
        <w:rPr>
          <w:rFonts w:hint="eastAsia" w:ascii="宋体" w:hAnsi="宋体"/>
          <w:color w:val="auto"/>
          <w:szCs w:val="24"/>
          <w:highlight w:val="none"/>
          <w:lang w:val="en-US" w:eastAsia="zh-CN"/>
        </w:rPr>
        <w:t>提供的</w:t>
      </w:r>
      <w:r>
        <w:rPr>
          <w:rFonts w:hint="eastAsia" w:ascii="宋体" w:hAnsi="宋体"/>
          <w:color w:val="auto"/>
          <w:szCs w:val="24"/>
          <w:highlight w:val="none"/>
        </w:rPr>
        <w:t>图纸必须有设计资质单位盖章（</w:t>
      </w:r>
      <w:r>
        <w:rPr>
          <w:rFonts w:hint="eastAsia" w:ascii="宋体" w:hAnsi="宋体"/>
          <w:color w:val="auto"/>
          <w:highlight w:val="none"/>
        </w:rPr>
        <w:t>电力行业工程设计丙级及以上资质，或新能源发电专业工程设计乙级及以上资质</w:t>
      </w:r>
      <w:r>
        <w:rPr>
          <w:rFonts w:hint="eastAsia" w:ascii="宋体" w:hAnsi="宋体"/>
          <w:color w:val="auto"/>
          <w:szCs w:val="24"/>
          <w:highlight w:val="none"/>
        </w:rPr>
        <w:t>）。</w:t>
      </w:r>
    </w:p>
    <w:p>
      <w:pPr>
        <w:numPr>
          <w:ilvl w:val="0"/>
          <w:numId w:val="1"/>
        </w:numPr>
        <w:adjustRightInd w:val="0"/>
        <w:snapToGrid w:val="0"/>
        <w:spacing w:line="480" w:lineRule="exact"/>
        <w:ind w:firstLine="480" w:firstLineChars="200"/>
        <w:rPr>
          <w:rFonts w:ascii="宋体" w:hAnsi="宋体"/>
          <w:color w:val="auto"/>
          <w:highlight w:val="none"/>
        </w:rPr>
      </w:pPr>
      <w:r>
        <w:rPr>
          <w:rFonts w:hint="eastAsia" w:ascii="宋体" w:hAnsi="宋体"/>
          <w:color w:val="auto"/>
          <w:highlight w:val="none"/>
        </w:rPr>
        <w:t>业绩要求：</w:t>
      </w:r>
    </w:p>
    <w:p>
      <w:pPr>
        <w:adjustRightInd w:val="0"/>
        <w:snapToGrid w:val="0"/>
        <w:spacing w:line="480" w:lineRule="exact"/>
        <w:ind w:firstLine="480" w:firstLineChars="200"/>
        <w:rPr>
          <w:rFonts w:ascii="宋体" w:hAnsi="宋体"/>
          <w:color w:val="auto"/>
          <w:highlight w:val="none"/>
        </w:rPr>
      </w:pPr>
      <w:r>
        <w:rPr>
          <w:rFonts w:hint="eastAsia" w:ascii="宋体" w:hAnsi="宋体"/>
          <w:color w:val="auto"/>
          <w:highlight w:val="none"/>
        </w:rPr>
        <w:t xml:space="preserve"> 近三年（201</w:t>
      </w:r>
      <w:r>
        <w:rPr>
          <w:rFonts w:hint="eastAsia" w:ascii="宋体" w:hAnsi="宋体"/>
          <w:color w:val="auto"/>
          <w:highlight w:val="none"/>
          <w:lang w:val="en-US" w:eastAsia="zh-CN"/>
        </w:rPr>
        <w:t>9</w:t>
      </w:r>
      <w:r>
        <w:rPr>
          <w:rFonts w:hint="eastAsia" w:ascii="宋体" w:hAnsi="宋体"/>
          <w:color w:val="auto"/>
          <w:highlight w:val="none"/>
        </w:rPr>
        <w:t>年</w:t>
      </w:r>
      <w:r>
        <w:rPr>
          <w:rFonts w:hint="eastAsia" w:ascii="宋体" w:hAnsi="宋体"/>
          <w:color w:val="auto"/>
          <w:highlight w:val="none"/>
          <w:lang w:val="en-US" w:eastAsia="zh-CN"/>
        </w:rPr>
        <w:t>4</w:t>
      </w:r>
      <w:r>
        <w:rPr>
          <w:rFonts w:hint="eastAsia" w:ascii="宋体" w:hAnsi="宋体"/>
          <w:color w:val="auto"/>
          <w:highlight w:val="none"/>
        </w:rPr>
        <w:t>月至202</w:t>
      </w:r>
      <w:r>
        <w:rPr>
          <w:rFonts w:hint="eastAsia" w:ascii="宋体" w:hAnsi="宋体"/>
          <w:color w:val="auto"/>
          <w:highlight w:val="none"/>
          <w:lang w:val="en-US" w:eastAsia="zh-CN"/>
        </w:rPr>
        <w:t>2</w:t>
      </w:r>
      <w:r>
        <w:rPr>
          <w:rFonts w:hint="eastAsia" w:ascii="宋体" w:hAnsi="宋体"/>
          <w:color w:val="auto"/>
          <w:highlight w:val="none"/>
        </w:rPr>
        <w:t>年</w:t>
      </w:r>
      <w:r>
        <w:rPr>
          <w:rFonts w:hint="eastAsia" w:ascii="宋体" w:hAnsi="宋体"/>
          <w:color w:val="auto"/>
          <w:highlight w:val="none"/>
          <w:lang w:val="en-US" w:eastAsia="zh-CN"/>
        </w:rPr>
        <w:t>4</w:t>
      </w:r>
      <w:r>
        <w:rPr>
          <w:rFonts w:hint="eastAsia" w:ascii="宋体" w:hAnsi="宋体"/>
          <w:color w:val="auto"/>
          <w:highlight w:val="none"/>
        </w:rPr>
        <w:t>月）完成过</w:t>
      </w:r>
      <w:r>
        <w:rPr>
          <w:rFonts w:hint="eastAsia" w:ascii="宋体" w:hAnsi="宋体"/>
          <w:color w:val="auto"/>
          <w:highlight w:val="none"/>
          <w:lang w:eastAsia="zh-CN"/>
        </w:rPr>
        <w:t>二</w:t>
      </w:r>
      <w:r>
        <w:rPr>
          <w:rFonts w:hint="eastAsia" w:ascii="宋体" w:hAnsi="宋体"/>
          <w:color w:val="auto"/>
          <w:highlight w:val="none"/>
        </w:rPr>
        <w:t>个</w:t>
      </w:r>
      <w:r>
        <w:rPr>
          <w:rFonts w:hint="eastAsia" w:ascii="宋体" w:hAnsi="宋体"/>
          <w:color w:val="auto"/>
          <w:highlight w:val="none"/>
          <w:lang w:val="en-US" w:eastAsia="zh-CN"/>
        </w:rPr>
        <w:t>及</w:t>
      </w:r>
      <w:r>
        <w:rPr>
          <w:rFonts w:hint="eastAsia" w:ascii="宋体" w:hAnsi="宋体"/>
          <w:color w:val="auto"/>
          <w:highlight w:val="none"/>
        </w:rPr>
        <w:t>以上的光伏</w:t>
      </w:r>
      <w:r>
        <w:rPr>
          <w:rFonts w:hint="eastAsia" w:ascii="宋体" w:hAnsi="宋体"/>
          <w:color w:val="auto"/>
          <w:highlight w:val="none"/>
          <w:lang w:val="en-US" w:eastAsia="zh-CN"/>
        </w:rPr>
        <w:t>项目施工且每个光伏项目</w:t>
      </w:r>
      <w:r>
        <w:rPr>
          <w:rFonts w:hint="eastAsia" w:ascii="宋体" w:hAnsi="宋体"/>
          <w:color w:val="auto"/>
          <w:highlight w:val="none"/>
        </w:rPr>
        <w:t>容量</w:t>
      </w:r>
      <w:r>
        <w:rPr>
          <w:rFonts w:hint="eastAsia" w:ascii="宋体" w:hAnsi="宋体"/>
          <w:color w:val="auto"/>
          <w:highlight w:val="none"/>
          <w:lang w:val="en-US" w:eastAsia="zh-CN"/>
        </w:rPr>
        <w:t>不少1</w:t>
      </w:r>
      <w:r>
        <w:rPr>
          <w:rFonts w:hint="eastAsia" w:ascii="宋体" w:hAnsi="宋体"/>
          <w:color w:val="auto"/>
          <w:highlight w:val="none"/>
        </w:rPr>
        <w:t>00</w:t>
      </w:r>
      <w:r>
        <w:rPr>
          <w:rFonts w:hint="eastAsia" w:ascii="宋体" w:hAnsi="宋体"/>
          <w:color w:val="auto"/>
          <w:highlight w:val="none"/>
          <w:lang w:val="en-US" w:eastAsia="zh-CN"/>
        </w:rPr>
        <w:t>k</w:t>
      </w:r>
      <w:r>
        <w:rPr>
          <w:rFonts w:hint="eastAsia" w:ascii="宋体" w:hAnsi="宋体"/>
          <w:color w:val="auto"/>
          <w:highlight w:val="none"/>
        </w:rPr>
        <w:t>W。</w:t>
      </w:r>
    </w:p>
    <w:p>
      <w:pPr>
        <w:adjustRightInd w:val="0"/>
        <w:snapToGrid w:val="0"/>
        <w:spacing w:line="480" w:lineRule="exact"/>
        <w:ind w:firstLine="482"/>
        <w:rPr>
          <w:rFonts w:ascii="宋体" w:hAnsi="宋体"/>
          <w:color w:val="auto"/>
          <w:highlight w:val="none"/>
        </w:rPr>
      </w:pPr>
      <w:r>
        <w:rPr>
          <w:rFonts w:hint="eastAsia" w:ascii="宋体" w:hAnsi="宋体"/>
          <w:color w:val="auto"/>
          <w:highlight w:val="none"/>
        </w:rPr>
        <w:t>（</w:t>
      </w:r>
      <w:r>
        <w:rPr>
          <w:rFonts w:ascii="宋体" w:hAnsi="宋体"/>
          <w:color w:val="auto"/>
          <w:highlight w:val="none"/>
        </w:rPr>
        <w:t>4</w:t>
      </w:r>
      <w:r>
        <w:rPr>
          <w:rFonts w:hint="eastAsia" w:ascii="宋体" w:hAnsi="宋体"/>
          <w:color w:val="auto"/>
          <w:highlight w:val="none"/>
        </w:rPr>
        <w:t>）信誉要求：</w:t>
      </w:r>
    </w:p>
    <w:p>
      <w:pPr>
        <w:adjustRightInd w:val="0"/>
        <w:snapToGrid w:val="0"/>
        <w:spacing w:line="480" w:lineRule="exact"/>
        <w:ind w:firstLine="566" w:firstLineChars="236"/>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 1 \* GB3 </w:instrText>
      </w:r>
      <w:r>
        <w:rPr>
          <w:rFonts w:ascii="宋体" w:hAnsi="宋体"/>
          <w:color w:val="auto"/>
          <w:szCs w:val="24"/>
          <w:highlight w:val="none"/>
        </w:rPr>
        <w:fldChar w:fldCharType="separate"/>
      </w:r>
      <w:r>
        <w:rPr>
          <w:rFonts w:hint="eastAsia" w:ascii="宋体" w:hAnsi="宋体"/>
          <w:color w:val="auto"/>
          <w:szCs w:val="24"/>
          <w:highlight w:val="none"/>
        </w:rPr>
        <w:t>①</w:t>
      </w:r>
      <w:r>
        <w:rPr>
          <w:rFonts w:ascii="宋体" w:hAnsi="宋体"/>
          <w:color w:val="auto"/>
          <w:szCs w:val="24"/>
          <w:highlight w:val="none"/>
        </w:rPr>
        <w:fldChar w:fldCharType="end"/>
      </w:r>
      <w:r>
        <w:rPr>
          <w:rFonts w:hint="eastAsia" w:ascii="宋体" w:hAnsi="宋体"/>
          <w:color w:val="auto"/>
          <w:szCs w:val="24"/>
          <w:highlight w:val="none"/>
        </w:rPr>
        <w:t xml:space="preserve"> 未处于被责令停业的；</w:t>
      </w:r>
    </w:p>
    <w:p>
      <w:pPr>
        <w:adjustRightInd w:val="0"/>
        <w:snapToGrid w:val="0"/>
        <w:spacing w:line="480" w:lineRule="exact"/>
        <w:ind w:firstLine="566" w:firstLineChars="236"/>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 2 \* GB3 </w:instrText>
      </w:r>
      <w:r>
        <w:rPr>
          <w:rFonts w:ascii="宋体" w:hAnsi="宋体"/>
          <w:color w:val="auto"/>
          <w:szCs w:val="24"/>
          <w:highlight w:val="none"/>
        </w:rPr>
        <w:fldChar w:fldCharType="separate"/>
      </w:r>
      <w:r>
        <w:rPr>
          <w:rFonts w:hint="eastAsia" w:ascii="宋体" w:hAnsi="宋体"/>
          <w:color w:val="auto"/>
          <w:szCs w:val="24"/>
          <w:highlight w:val="none"/>
        </w:rPr>
        <w:t>②</w:t>
      </w:r>
      <w:r>
        <w:rPr>
          <w:rFonts w:ascii="宋体" w:hAnsi="宋体"/>
          <w:color w:val="auto"/>
          <w:szCs w:val="24"/>
          <w:highlight w:val="none"/>
        </w:rPr>
        <w:fldChar w:fldCharType="end"/>
      </w:r>
      <w:r>
        <w:rPr>
          <w:rFonts w:hint="eastAsia" w:ascii="宋体" w:hAnsi="宋体"/>
          <w:color w:val="auto"/>
          <w:szCs w:val="24"/>
          <w:highlight w:val="none"/>
        </w:rPr>
        <w:t xml:space="preserve"> 未处于被暂停或取消响应资格的；</w:t>
      </w:r>
    </w:p>
    <w:p>
      <w:pPr>
        <w:adjustRightInd w:val="0"/>
        <w:snapToGrid w:val="0"/>
        <w:spacing w:line="480" w:lineRule="exact"/>
        <w:ind w:firstLine="566" w:firstLineChars="236"/>
        <w:rPr>
          <w:rFonts w:ascii="宋体" w:hAnsi="宋体"/>
          <w:color w:val="auto"/>
          <w:szCs w:val="24"/>
          <w:highlight w:val="none"/>
        </w:rPr>
      </w:pPr>
      <w:r>
        <w:rPr>
          <w:rFonts w:hint="eastAsia" w:ascii="宋体" w:hAnsi="宋体"/>
          <w:color w:val="auto"/>
          <w:szCs w:val="24"/>
          <w:highlight w:val="none"/>
        </w:rPr>
        <w:t>③ 财产未处于被接管、冻结或破产状态的；</w:t>
      </w:r>
    </w:p>
    <w:p>
      <w:pPr>
        <w:adjustRightInd w:val="0"/>
        <w:snapToGrid w:val="0"/>
        <w:spacing w:line="480" w:lineRule="exact"/>
        <w:ind w:firstLine="566" w:firstLineChars="236"/>
        <w:rPr>
          <w:rFonts w:ascii="宋体" w:hAnsi="宋体"/>
          <w:color w:val="auto"/>
          <w:szCs w:val="24"/>
          <w:highlight w:val="none"/>
        </w:rPr>
      </w:pPr>
      <w:r>
        <w:rPr>
          <w:rFonts w:hint="eastAsia" w:ascii="宋体" w:hAnsi="宋体"/>
          <w:color w:val="auto"/>
          <w:szCs w:val="24"/>
          <w:highlight w:val="none"/>
        </w:rPr>
        <w:t>④ 近三年无骗取中标或严重违约的；</w:t>
      </w:r>
    </w:p>
    <w:p>
      <w:pPr>
        <w:adjustRightInd w:val="0"/>
        <w:snapToGrid w:val="0"/>
        <w:spacing w:line="480" w:lineRule="exact"/>
        <w:ind w:firstLine="566" w:firstLineChars="236"/>
        <w:rPr>
          <w:rFonts w:ascii="宋体" w:hAnsi="宋体"/>
          <w:color w:val="auto"/>
          <w:szCs w:val="24"/>
          <w:highlight w:val="none"/>
        </w:rPr>
      </w:pPr>
      <w:r>
        <w:rPr>
          <w:rFonts w:hint="eastAsia" w:ascii="宋体" w:hAnsi="宋体"/>
          <w:color w:val="auto"/>
          <w:szCs w:val="24"/>
          <w:highlight w:val="none"/>
        </w:rPr>
        <w:t>⑤无涉及正在诉讼的案件，或涉及正在诉讼的案件对承担本工程不会造成重大影响的；</w:t>
      </w:r>
    </w:p>
    <w:p>
      <w:pPr>
        <w:adjustRightInd w:val="0"/>
        <w:snapToGrid w:val="0"/>
        <w:spacing w:line="480" w:lineRule="exact"/>
        <w:ind w:firstLine="600" w:firstLineChars="250"/>
        <w:rPr>
          <w:rFonts w:ascii="宋体" w:hAnsi="宋体"/>
          <w:color w:val="auto"/>
          <w:szCs w:val="24"/>
          <w:highlight w:val="none"/>
        </w:rPr>
      </w:pPr>
      <w:r>
        <w:rPr>
          <w:rFonts w:hint="eastAsia" w:ascii="宋体" w:hAnsi="宋体"/>
          <w:color w:val="auto"/>
          <w:szCs w:val="24"/>
          <w:highlight w:val="none"/>
        </w:rPr>
        <w:t>⑥ 在“信用中国”网站（http://www.creditchina.gov.cn/）中未被列入失信被执行人名单。在国家企业信用信息公示系统（http://www.gsxt.gov.cn/）中未被列入严重违法失信企业名单。</w:t>
      </w:r>
    </w:p>
    <w:p>
      <w:pPr>
        <w:pStyle w:val="4"/>
        <w:spacing w:before="240" w:after="120" w:line="360" w:lineRule="auto"/>
        <w:jc w:val="both"/>
        <w:rPr>
          <w:rFonts w:ascii="宋体" w:hAnsi="宋体"/>
          <w:color w:val="auto"/>
          <w:sz w:val="28"/>
          <w:szCs w:val="28"/>
          <w:highlight w:val="none"/>
        </w:rPr>
      </w:pPr>
      <w:bookmarkStart w:id="12" w:name="_Toc6968"/>
      <w:r>
        <w:rPr>
          <w:rFonts w:hint="eastAsia" w:ascii="宋体" w:hAnsi="宋体"/>
          <w:color w:val="auto"/>
          <w:sz w:val="28"/>
          <w:szCs w:val="28"/>
          <w:highlight w:val="none"/>
        </w:rPr>
        <w:t>2. 采购文件的领取</w:t>
      </w:r>
      <w:bookmarkEnd w:id="12"/>
    </w:p>
    <w:p>
      <w:pPr>
        <w:spacing w:line="480" w:lineRule="exact"/>
        <w:ind w:firstLine="480" w:firstLineChars="200"/>
        <w:rPr>
          <w:rFonts w:ascii="宋体" w:hAnsi="宋体"/>
          <w:color w:val="auto"/>
          <w:highlight w:val="none"/>
        </w:rPr>
      </w:pPr>
      <w:r>
        <w:rPr>
          <w:rFonts w:hint="eastAsia" w:ascii="宋体" w:hAnsi="宋体"/>
          <w:color w:val="auto"/>
          <w:highlight w:val="none"/>
        </w:rPr>
        <w:t>2.1凡有意参加本项目者，请于</w:t>
      </w:r>
      <w:r>
        <w:rPr>
          <w:rFonts w:hint="eastAsia" w:ascii="宋体" w:hAnsi="宋体"/>
          <w:color w:val="auto"/>
          <w:highlight w:val="none"/>
          <w:u w:val="single"/>
        </w:rPr>
        <w:t xml:space="preserve"> 202</w:t>
      </w:r>
      <w:r>
        <w:rPr>
          <w:rFonts w:hint="eastAsia" w:ascii="宋体" w:hAnsi="宋体"/>
          <w:color w:val="auto"/>
          <w:highlight w:val="none"/>
          <w:u w:val="single"/>
          <w:lang w:val="en-US" w:eastAsia="zh-CN"/>
        </w:rPr>
        <w:t>2</w:t>
      </w:r>
      <w:r>
        <w:rPr>
          <w:rFonts w:hint="eastAsia" w:ascii="宋体" w:hAnsi="宋体"/>
          <w:color w:val="auto"/>
          <w:highlight w:val="none"/>
          <w:u w:val="single"/>
        </w:rPr>
        <w:t>年</w:t>
      </w:r>
      <w:r>
        <w:rPr>
          <w:rFonts w:hint="eastAsia" w:ascii="宋体" w:hAnsi="宋体"/>
          <w:color w:val="auto"/>
          <w:highlight w:val="none"/>
          <w:u w:val="single"/>
          <w:lang w:val="en-US" w:eastAsia="zh-CN"/>
        </w:rPr>
        <w:t>4</w:t>
      </w:r>
      <w:r>
        <w:rPr>
          <w:rFonts w:hint="eastAsia" w:ascii="宋体" w:hAnsi="宋体"/>
          <w:color w:val="auto"/>
          <w:highlight w:val="none"/>
          <w:u w:val="single"/>
        </w:rPr>
        <w:t xml:space="preserve">月 </w:t>
      </w:r>
      <w:r>
        <w:rPr>
          <w:rFonts w:hint="eastAsia" w:ascii="宋体" w:hAnsi="宋体"/>
          <w:color w:val="auto"/>
          <w:highlight w:val="none"/>
          <w:u w:val="single"/>
          <w:lang w:val="en-US" w:eastAsia="zh-CN"/>
        </w:rPr>
        <w:t>8</w:t>
      </w:r>
      <w:r>
        <w:rPr>
          <w:rFonts w:hint="eastAsia" w:ascii="宋体" w:hAnsi="宋体"/>
          <w:color w:val="auto"/>
          <w:highlight w:val="none"/>
          <w:u w:val="single"/>
        </w:rPr>
        <w:t xml:space="preserve"> 日</w:t>
      </w:r>
      <w:r>
        <w:rPr>
          <w:rFonts w:hint="eastAsia" w:ascii="宋体" w:hAnsi="宋体"/>
          <w:color w:val="auto"/>
          <w:highlight w:val="none"/>
        </w:rPr>
        <w:t xml:space="preserve">至 </w:t>
      </w:r>
      <w:r>
        <w:rPr>
          <w:rFonts w:hint="eastAsia" w:ascii="宋体" w:hAnsi="宋体"/>
          <w:color w:val="auto"/>
          <w:highlight w:val="none"/>
          <w:u w:val="single"/>
        </w:rPr>
        <w:t>202</w:t>
      </w:r>
      <w:r>
        <w:rPr>
          <w:rFonts w:hint="eastAsia" w:ascii="宋体" w:hAnsi="宋体"/>
          <w:color w:val="auto"/>
          <w:highlight w:val="none"/>
          <w:u w:val="single"/>
          <w:lang w:val="en-US" w:eastAsia="zh-CN"/>
        </w:rPr>
        <w:t>2</w:t>
      </w:r>
      <w:r>
        <w:rPr>
          <w:rFonts w:hint="eastAsia" w:ascii="宋体" w:hAnsi="宋体"/>
          <w:color w:val="auto"/>
          <w:highlight w:val="none"/>
          <w:u w:val="single"/>
        </w:rPr>
        <w:t>年</w:t>
      </w:r>
      <w:r>
        <w:rPr>
          <w:rFonts w:hint="eastAsia" w:ascii="宋体" w:hAnsi="宋体"/>
          <w:color w:val="auto"/>
          <w:highlight w:val="none"/>
          <w:u w:val="single"/>
          <w:lang w:val="en-US" w:eastAsia="zh-CN"/>
        </w:rPr>
        <w:t>4</w:t>
      </w:r>
      <w:r>
        <w:rPr>
          <w:rFonts w:hint="eastAsia" w:ascii="宋体" w:hAnsi="宋体"/>
          <w:color w:val="auto"/>
          <w:highlight w:val="none"/>
          <w:u w:val="single"/>
        </w:rPr>
        <w:t xml:space="preserve">月 </w:t>
      </w:r>
      <w:r>
        <w:rPr>
          <w:rFonts w:hint="eastAsia" w:ascii="宋体" w:hAnsi="宋体"/>
          <w:color w:val="auto"/>
          <w:highlight w:val="none"/>
          <w:u w:val="single"/>
          <w:lang w:val="en-US" w:eastAsia="zh-CN"/>
        </w:rPr>
        <w:t>15</w:t>
      </w:r>
      <w:r>
        <w:rPr>
          <w:rFonts w:hint="eastAsia" w:ascii="宋体" w:hAnsi="宋体"/>
          <w:color w:val="auto"/>
          <w:highlight w:val="none"/>
          <w:u w:val="single"/>
        </w:rPr>
        <w:t xml:space="preserve"> 日</w:t>
      </w:r>
      <w:r>
        <w:rPr>
          <w:rFonts w:hint="eastAsia" w:ascii="宋体" w:hAnsi="宋体"/>
          <w:color w:val="auto"/>
          <w:highlight w:val="none"/>
        </w:rPr>
        <w:t>（节假日不休息），每日上午9:30时至12:00时，下午14:00时至16:00时(北京时间，下同)</w:t>
      </w:r>
      <w:r>
        <w:rPr>
          <w:rFonts w:ascii="宋体" w:hAnsi="宋体"/>
          <w:color w:val="auto"/>
          <w:highlight w:val="none"/>
        </w:rPr>
        <w:t>，在</w:t>
      </w:r>
      <w:r>
        <w:rPr>
          <w:rFonts w:hint="eastAsia" w:ascii="宋体" w:hAnsi="宋体"/>
          <w:color w:val="auto"/>
          <w:highlight w:val="none"/>
          <w:u w:val="single"/>
        </w:rPr>
        <w:t>江西省南昌市西湖区广场南路136号交通物资大楼3楼</w:t>
      </w:r>
      <w:r>
        <w:rPr>
          <w:rFonts w:hint="eastAsia" w:ascii="宋体" w:hAnsi="宋体"/>
          <w:color w:val="auto"/>
          <w:highlight w:val="none"/>
        </w:rPr>
        <w:t>报名，报名时由经办人持单位介绍信原件、联合体协议书（如有）领取采购文件。</w:t>
      </w:r>
    </w:p>
    <w:p>
      <w:pPr>
        <w:spacing w:line="480" w:lineRule="exact"/>
        <w:ind w:firstLine="480" w:firstLineChars="200"/>
        <w:rPr>
          <w:rFonts w:ascii="宋体" w:hAnsi="宋体"/>
          <w:color w:val="auto"/>
          <w:highlight w:val="none"/>
        </w:rPr>
      </w:pPr>
      <w:r>
        <w:rPr>
          <w:rFonts w:hint="eastAsia" w:ascii="宋体" w:hAnsi="宋体"/>
          <w:color w:val="auto"/>
          <w:highlight w:val="none"/>
        </w:rPr>
        <w:t>2.2 采购文件每套售价 0 元。</w:t>
      </w:r>
    </w:p>
    <w:p>
      <w:pPr>
        <w:pStyle w:val="4"/>
        <w:spacing w:before="240" w:after="120" w:line="360" w:lineRule="auto"/>
        <w:jc w:val="both"/>
        <w:rPr>
          <w:rFonts w:ascii="宋体" w:hAnsi="宋体"/>
          <w:color w:val="auto"/>
          <w:sz w:val="28"/>
          <w:szCs w:val="28"/>
          <w:highlight w:val="none"/>
        </w:rPr>
      </w:pPr>
      <w:bookmarkStart w:id="13" w:name="_Toc6923"/>
      <w:r>
        <w:rPr>
          <w:rFonts w:hint="eastAsia" w:ascii="宋体" w:hAnsi="宋体"/>
          <w:color w:val="auto"/>
          <w:sz w:val="28"/>
          <w:szCs w:val="28"/>
          <w:highlight w:val="none"/>
        </w:rPr>
        <w:t>3. 响应文件的递交</w:t>
      </w:r>
      <w:bookmarkEnd w:id="13"/>
    </w:p>
    <w:p>
      <w:pPr>
        <w:adjustRightInd w:val="0"/>
        <w:snapToGrid w:val="0"/>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3.1采购人可提供</w:t>
      </w:r>
      <w:r>
        <w:rPr>
          <w:rFonts w:hint="eastAsia" w:ascii="宋体" w:hAnsi="宋体"/>
          <w:color w:val="auto"/>
          <w:szCs w:val="24"/>
          <w:highlight w:val="none"/>
          <w:lang w:eastAsia="zh-CN"/>
        </w:rPr>
        <w:t>上固服务区</w:t>
      </w:r>
      <w:r>
        <w:rPr>
          <w:rFonts w:hint="eastAsia" w:ascii="宋体" w:hAnsi="宋体"/>
          <w:color w:val="auto"/>
          <w:szCs w:val="24"/>
          <w:highlight w:val="none"/>
        </w:rPr>
        <w:t>位置及现场图片，但不组织工程现场考察，响应人可以自行考察，费用自理。在考察过程中，响应人如果发生人身伤亡、财务或其他损失，不论何种原因所造成，采购人均不负责。</w:t>
      </w:r>
    </w:p>
    <w:p>
      <w:pPr>
        <w:adjustRightInd w:val="0"/>
        <w:snapToGrid w:val="0"/>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3.2递交采购响应文件的截止时间为</w:t>
      </w:r>
      <w:r>
        <w:rPr>
          <w:rFonts w:hint="eastAsia" w:ascii="宋体" w:hAnsi="宋体"/>
          <w:color w:val="auto"/>
          <w:szCs w:val="24"/>
          <w:highlight w:val="none"/>
          <w:u w:val="single"/>
        </w:rPr>
        <w:t>202</w:t>
      </w:r>
      <w:r>
        <w:rPr>
          <w:rFonts w:hint="eastAsia" w:ascii="宋体" w:hAnsi="宋体"/>
          <w:color w:val="auto"/>
          <w:szCs w:val="24"/>
          <w:highlight w:val="none"/>
          <w:u w:val="single"/>
          <w:lang w:val="en-US" w:eastAsia="zh-CN"/>
        </w:rPr>
        <w:t>1</w:t>
      </w:r>
      <w:r>
        <w:rPr>
          <w:rFonts w:hint="eastAsia" w:ascii="宋体" w:hAnsi="宋体"/>
          <w:color w:val="auto"/>
          <w:szCs w:val="24"/>
          <w:highlight w:val="none"/>
        </w:rPr>
        <w:t>年</w:t>
      </w:r>
      <w:r>
        <w:rPr>
          <w:rFonts w:hint="eastAsia" w:ascii="宋体" w:hAnsi="宋体"/>
          <w:color w:val="auto"/>
          <w:szCs w:val="24"/>
          <w:highlight w:val="none"/>
          <w:u w:val="single"/>
          <w:lang w:val="en-US" w:eastAsia="zh-CN"/>
        </w:rPr>
        <w:t>4</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18</w:t>
      </w:r>
      <w:r>
        <w:rPr>
          <w:rFonts w:hint="eastAsia" w:ascii="宋体" w:hAnsi="宋体"/>
          <w:color w:val="auto"/>
          <w:szCs w:val="24"/>
          <w:highlight w:val="none"/>
          <w:u w:val="single"/>
        </w:rPr>
        <w:t xml:space="preserve"> </w:t>
      </w:r>
      <w:r>
        <w:rPr>
          <w:rFonts w:hint="eastAsia" w:ascii="宋体" w:hAnsi="宋体"/>
          <w:color w:val="auto"/>
          <w:szCs w:val="24"/>
          <w:highlight w:val="none"/>
        </w:rPr>
        <w:t>日</w:t>
      </w:r>
      <w:r>
        <w:rPr>
          <w:rFonts w:hint="eastAsia" w:ascii="宋体" w:hAnsi="宋体"/>
          <w:color w:val="auto"/>
          <w:szCs w:val="24"/>
          <w:highlight w:val="none"/>
          <w:u w:val="single"/>
        </w:rPr>
        <w:t>16</w:t>
      </w:r>
      <w:r>
        <w:rPr>
          <w:rFonts w:hint="eastAsia" w:ascii="宋体" w:hAnsi="宋体"/>
          <w:color w:val="auto"/>
          <w:szCs w:val="24"/>
          <w:highlight w:val="none"/>
        </w:rPr>
        <w:t>时</w:t>
      </w:r>
      <w:r>
        <w:rPr>
          <w:rFonts w:hint="eastAsia" w:ascii="宋体" w:hAnsi="宋体"/>
          <w:color w:val="auto"/>
          <w:szCs w:val="24"/>
          <w:highlight w:val="none"/>
          <w:u w:val="single"/>
        </w:rPr>
        <w:t>00</w:t>
      </w:r>
      <w:r>
        <w:rPr>
          <w:rFonts w:hint="eastAsia" w:ascii="宋体" w:hAnsi="宋体"/>
          <w:color w:val="auto"/>
          <w:szCs w:val="24"/>
          <w:highlight w:val="none"/>
        </w:rPr>
        <w:t>分，响应人应于当日</w:t>
      </w:r>
      <w:r>
        <w:rPr>
          <w:rFonts w:hint="eastAsia" w:ascii="宋体" w:hAnsi="宋体"/>
          <w:color w:val="auto"/>
          <w:szCs w:val="24"/>
          <w:highlight w:val="none"/>
          <w:u w:val="single"/>
        </w:rPr>
        <w:t>15</w:t>
      </w:r>
      <w:r>
        <w:rPr>
          <w:rFonts w:hint="eastAsia" w:ascii="宋体" w:hAnsi="宋体"/>
          <w:color w:val="auto"/>
          <w:szCs w:val="24"/>
          <w:highlight w:val="none"/>
        </w:rPr>
        <w:t>时</w:t>
      </w:r>
      <w:r>
        <w:rPr>
          <w:rFonts w:hint="eastAsia" w:ascii="宋体" w:hAnsi="宋体"/>
          <w:color w:val="auto"/>
          <w:szCs w:val="24"/>
          <w:highlight w:val="none"/>
          <w:u w:val="single"/>
        </w:rPr>
        <w:t>30</w:t>
      </w:r>
      <w:r>
        <w:rPr>
          <w:rFonts w:hint="eastAsia" w:ascii="宋体" w:hAnsi="宋体"/>
          <w:color w:val="auto"/>
          <w:szCs w:val="24"/>
          <w:highlight w:val="none"/>
        </w:rPr>
        <w:t>分至</w:t>
      </w:r>
      <w:r>
        <w:rPr>
          <w:rFonts w:hint="eastAsia" w:ascii="宋体" w:hAnsi="宋体"/>
          <w:color w:val="auto"/>
          <w:szCs w:val="24"/>
          <w:highlight w:val="none"/>
          <w:u w:val="single"/>
        </w:rPr>
        <w:t>16</w:t>
      </w:r>
      <w:r>
        <w:rPr>
          <w:rFonts w:hint="eastAsia" w:ascii="宋体" w:hAnsi="宋体"/>
          <w:color w:val="auto"/>
          <w:szCs w:val="24"/>
          <w:highlight w:val="none"/>
        </w:rPr>
        <w:t>时</w:t>
      </w:r>
      <w:r>
        <w:rPr>
          <w:rFonts w:hint="eastAsia" w:ascii="宋体" w:hAnsi="宋体"/>
          <w:color w:val="auto"/>
          <w:szCs w:val="24"/>
          <w:highlight w:val="none"/>
          <w:u w:val="single"/>
        </w:rPr>
        <w:t>00</w:t>
      </w:r>
      <w:r>
        <w:rPr>
          <w:rFonts w:hint="eastAsia" w:ascii="宋体" w:hAnsi="宋体"/>
          <w:color w:val="auto"/>
          <w:szCs w:val="24"/>
          <w:highlight w:val="none"/>
        </w:rPr>
        <w:t>分将响应文件递交至</w:t>
      </w:r>
      <w:r>
        <w:rPr>
          <w:rFonts w:hint="eastAsia" w:ascii="宋体" w:hAnsi="宋体"/>
          <w:color w:val="auto"/>
          <w:szCs w:val="24"/>
          <w:highlight w:val="none"/>
          <w:u w:val="single"/>
        </w:rPr>
        <w:t>江西省南昌市西湖区广场南路136号交通物资大楼3楼会议室</w:t>
      </w:r>
      <w:r>
        <w:rPr>
          <w:rFonts w:hint="eastAsia" w:ascii="宋体" w:hAnsi="宋体"/>
          <w:color w:val="auto"/>
          <w:szCs w:val="24"/>
          <w:highlight w:val="none"/>
        </w:rPr>
        <w:t>。</w:t>
      </w:r>
    </w:p>
    <w:p>
      <w:pPr>
        <w:adjustRightInd w:val="0"/>
        <w:snapToGrid w:val="0"/>
        <w:spacing w:line="480" w:lineRule="exact"/>
        <w:ind w:firstLine="480" w:firstLineChars="200"/>
        <w:rPr>
          <w:rFonts w:ascii="宋体" w:hAnsi="宋体" w:cs="Arial"/>
          <w:color w:val="auto"/>
          <w:szCs w:val="24"/>
          <w:highlight w:val="none"/>
        </w:rPr>
      </w:pPr>
      <w:r>
        <w:rPr>
          <w:rFonts w:hint="eastAsia" w:ascii="宋体" w:hAnsi="宋体"/>
          <w:color w:val="auto"/>
          <w:szCs w:val="24"/>
          <w:highlight w:val="none"/>
        </w:rPr>
        <w:t>3.3</w:t>
      </w:r>
      <w:r>
        <w:rPr>
          <w:rFonts w:hint="eastAsia" w:ascii="宋体" w:hAnsi="宋体" w:cs="Arial"/>
          <w:color w:val="auto"/>
          <w:szCs w:val="24"/>
          <w:highlight w:val="none"/>
        </w:rPr>
        <w:t>逾期送达或未送达指定地点或未按要求密封</w:t>
      </w:r>
      <w:r>
        <w:rPr>
          <w:rFonts w:hint="eastAsia" w:ascii="宋体" w:hAnsi="宋体"/>
          <w:color w:val="auto"/>
          <w:szCs w:val="24"/>
          <w:highlight w:val="none"/>
        </w:rPr>
        <w:t>的响应</w:t>
      </w:r>
      <w:r>
        <w:rPr>
          <w:rFonts w:hint="eastAsia" w:ascii="宋体" w:hAnsi="宋体" w:cs="Arial"/>
          <w:color w:val="auto"/>
          <w:szCs w:val="24"/>
          <w:highlight w:val="none"/>
        </w:rPr>
        <w:t>文件，</w:t>
      </w:r>
      <w:r>
        <w:rPr>
          <w:rFonts w:hint="eastAsia" w:ascii="宋体" w:hAnsi="宋体"/>
          <w:color w:val="auto"/>
          <w:szCs w:val="24"/>
          <w:highlight w:val="none"/>
        </w:rPr>
        <w:t>采购人将拒绝接</w:t>
      </w:r>
      <w:r>
        <w:rPr>
          <w:rFonts w:hint="eastAsia" w:ascii="宋体" w:hAnsi="宋体" w:cs="Arial"/>
          <w:color w:val="auto"/>
          <w:szCs w:val="24"/>
          <w:highlight w:val="none"/>
        </w:rPr>
        <w:t>收。</w:t>
      </w:r>
    </w:p>
    <w:p>
      <w:pPr>
        <w:adjustRightInd w:val="0"/>
        <w:snapToGrid w:val="0"/>
        <w:spacing w:line="480" w:lineRule="exact"/>
        <w:rPr>
          <w:rFonts w:ascii="宋体" w:hAnsi="宋体" w:eastAsia="黑体"/>
          <w:b/>
          <w:color w:val="auto"/>
          <w:kern w:val="0"/>
          <w:sz w:val="28"/>
          <w:szCs w:val="28"/>
          <w:highlight w:val="none"/>
        </w:rPr>
      </w:pPr>
      <w:r>
        <w:rPr>
          <w:rFonts w:hint="eastAsia" w:ascii="宋体" w:hAnsi="宋体" w:eastAsia="黑体"/>
          <w:b/>
          <w:color w:val="auto"/>
          <w:kern w:val="0"/>
          <w:sz w:val="28"/>
          <w:szCs w:val="28"/>
          <w:highlight w:val="none"/>
        </w:rPr>
        <w:t>4. 发布公告的媒介</w:t>
      </w:r>
    </w:p>
    <w:p>
      <w:pPr>
        <w:adjustRightInd w:val="0"/>
        <w:snapToGrid w:val="0"/>
        <w:spacing w:line="480" w:lineRule="exact"/>
        <w:ind w:firstLine="480" w:firstLineChars="200"/>
        <w:rPr>
          <w:rFonts w:ascii="宋体" w:hAnsi="宋体" w:cs="Arial"/>
          <w:color w:val="auto"/>
          <w:szCs w:val="24"/>
          <w:highlight w:val="none"/>
        </w:rPr>
      </w:pPr>
      <w:r>
        <w:rPr>
          <w:rFonts w:hint="eastAsia" w:ascii="宋体" w:hAnsi="宋体" w:cs="Arial"/>
          <w:color w:val="auto"/>
          <w:szCs w:val="24"/>
          <w:highlight w:val="none"/>
        </w:rPr>
        <w:t>本次采购公告在江西省高速资产经营有限责任公司（http://www.jxgszcjy.com/）上发布。</w:t>
      </w:r>
    </w:p>
    <w:p>
      <w:pPr>
        <w:pStyle w:val="4"/>
        <w:spacing w:before="0" w:after="0" w:line="440" w:lineRule="atLeast"/>
        <w:jc w:val="both"/>
        <w:rPr>
          <w:rFonts w:ascii="宋体" w:hAnsi="宋体"/>
          <w:color w:val="auto"/>
          <w:sz w:val="28"/>
          <w:szCs w:val="28"/>
          <w:highlight w:val="none"/>
        </w:rPr>
      </w:pPr>
      <w:bookmarkStart w:id="14" w:name="_Toc13647"/>
      <w:bookmarkStart w:id="15" w:name="_Toc421613196"/>
      <w:r>
        <w:rPr>
          <w:rFonts w:hint="eastAsia" w:ascii="宋体" w:hAnsi="宋体"/>
          <w:color w:val="auto"/>
          <w:sz w:val="28"/>
          <w:szCs w:val="28"/>
          <w:highlight w:val="none"/>
        </w:rPr>
        <w:t>5.</w:t>
      </w:r>
      <w:r>
        <w:rPr>
          <w:rFonts w:ascii="宋体" w:hAnsi="宋体"/>
          <w:color w:val="auto"/>
          <w:sz w:val="28"/>
          <w:szCs w:val="28"/>
          <w:highlight w:val="none"/>
        </w:rPr>
        <w:t xml:space="preserve"> 联系方式</w:t>
      </w:r>
      <w:bookmarkEnd w:id="14"/>
      <w:bookmarkEnd w:id="15"/>
    </w:p>
    <w:p>
      <w:pPr>
        <w:adjustRightInd w:val="0"/>
        <w:snapToGrid w:val="0"/>
        <w:spacing w:line="440" w:lineRule="atLeast"/>
        <w:ind w:firstLine="480" w:firstLineChars="200"/>
        <w:rPr>
          <w:rFonts w:ascii="宋体" w:hAnsi="宋体"/>
          <w:bCs/>
          <w:color w:val="auto"/>
          <w:highlight w:val="none"/>
        </w:rPr>
      </w:pPr>
      <w:r>
        <w:rPr>
          <w:rFonts w:hint="eastAsia" w:ascii="宋体" w:hAnsi="宋体"/>
          <w:color w:val="auto"/>
          <w:highlight w:val="none"/>
        </w:rPr>
        <w:t>采 购 人：江西省高速电建新能源有限责任公司</w:t>
      </w:r>
    </w:p>
    <w:p>
      <w:pPr>
        <w:adjustRightInd w:val="0"/>
        <w:snapToGrid w:val="0"/>
        <w:spacing w:line="440" w:lineRule="atLeast"/>
        <w:ind w:firstLine="480" w:firstLineChars="200"/>
        <w:rPr>
          <w:rFonts w:hint="eastAsia" w:ascii="宋体" w:hAnsi="宋体" w:eastAsia="宋体"/>
          <w:color w:val="auto"/>
          <w:highlight w:val="none"/>
          <w:lang w:eastAsia="zh-CN"/>
        </w:rPr>
      </w:pPr>
      <w:r>
        <w:rPr>
          <w:rFonts w:hint="eastAsia" w:ascii="宋体" w:hAnsi="宋体"/>
          <w:color w:val="auto"/>
          <w:highlight w:val="none"/>
        </w:rPr>
        <w:t>联 系 人：</w:t>
      </w:r>
      <w:r>
        <w:rPr>
          <w:rFonts w:hint="eastAsia" w:ascii="宋体" w:hAnsi="宋体"/>
          <w:color w:val="auto"/>
          <w:highlight w:val="none"/>
          <w:lang w:eastAsia="zh-CN"/>
        </w:rPr>
        <w:t>徐先生</w:t>
      </w:r>
    </w:p>
    <w:p>
      <w:pPr>
        <w:adjustRightInd w:val="0"/>
        <w:snapToGrid w:val="0"/>
        <w:spacing w:line="440" w:lineRule="atLeast"/>
        <w:ind w:firstLine="480" w:firstLineChars="200"/>
        <w:rPr>
          <w:rFonts w:hint="default" w:ascii="宋体" w:hAnsi="宋体" w:eastAsia="宋体"/>
          <w:color w:val="auto"/>
          <w:highlight w:val="none"/>
          <w:lang w:val="en-US" w:eastAsia="zh-CN"/>
        </w:rPr>
      </w:pPr>
      <w:r>
        <w:rPr>
          <w:rFonts w:hint="eastAsia" w:ascii="宋体" w:hAnsi="宋体"/>
          <w:color w:val="auto"/>
          <w:highlight w:val="none"/>
        </w:rPr>
        <w:t>电    话：</w:t>
      </w:r>
      <w:r>
        <w:rPr>
          <w:rFonts w:hint="eastAsia" w:ascii="宋体" w:hAnsi="宋体"/>
          <w:color w:val="auto"/>
          <w:highlight w:val="none"/>
          <w:lang w:val="en-US" w:eastAsia="zh-CN"/>
        </w:rPr>
        <w:t>15170346421</w:t>
      </w:r>
    </w:p>
    <w:p>
      <w:pPr>
        <w:adjustRightInd w:val="0"/>
        <w:snapToGrid w:val="0"/>
        <w:spacing w:line="440" w:lineRule="atLeast"/>
        <w:ind w:firstLine="480" w:firstLineChars="200"/>
        <w:rPr>
          <w:rFonts w:ascii="宋体" w:hAnsi="宋体"/>
          <w:color w:val="auto"/>
          <w:highlight w:val="none"/>
        </w:rPr>
      </w:pPr>
      <w:r>
        <w:rPr>
          <w:rFonts w:hint="eastAsia" w:ascii="宋体" w:hAnsi="宋体"/>
          <w:color w:val="auto"/>
          <w:highlight w:val="none"/>
        </w:rPr>
        <w:t>地    址：江西省南昌市西湖区广场南路136号交通物资大楼3楼</w:t>
      </w:r>
    </w:p>
    <w:p>
      <w:pPr>
        <w:adjustRightInd w:val="0"/>
        <w:snapToGrid w:val="0"/>
        <w:spacing w:line="440" w:lineRule="atLeast"/>
        <w:ind w:firstLine="480" w:firstLineChars="200"/>
        <w:rPr>
          <w:rFonts w:ascii="宋体" w:hAnsi="宋体"/>
          <w:color w:val="auto"/>
          <w:highlight w:val="none"/>
        </w:rPr>
      </w:pPr>
      <w:r>
        <w:rPr>
          <w:rFonts w:hint="eastAsia" w:ascii="宋体" w:hAnsi="宋体"/>
          <w:color w:val="auto"/>
          <w:highlight w:val="none"/>
        </w:rPr>
        <w:t>邮    箱：</w:t>
      </w:r>
      <w:r>
        <w:rPr>
          <w:rFonts w:hint="eastAsia" w:ascii="宋体" w:hAnsi="宋体"/>
          <w:color w:val="auto"/>
          <w:highlight w:val="none"/>
          <w:lang w:val="en-US" w:eastAsia="zh-CN"/>
        </w:rPr>
        <w:t>761289775</w:t>
      </w:r>
      <w:r>
        <w:rPr>
          <w:rFonts w:hint="eastAsia" w:ascii="宋体" w:hAnsi="宋体"/>
          <w:color w:val="auto"/>
          <w:highlight w:val="none"/>
        </w:rPr>
        <w:t>@qq.com</w:t>
      </w:r>
    </w:p>
    <w:p>
      <w:pPr>
        <w:adjustRightInd w:val="0"/>
        <w:snapToGrid w:val="0"/>
        <w:spacing w:before="480" w:beforeLines="200" w:line="440" w:lineRule="atLeast"/>
        <w:ind w:firstLine="720" w:firstLineChars="300"/>
        <w:jc w:val="center"/>
        <w:rPr>
          <w:rFonts w:ascii="宋体" w:hAnsi="宋体"/>
          <w:color w:val="auto"/>
          <w:highlight w:val="none"/>
        </w:rPr>
      </w:pPr>
      <w:r>
        <w:rPr>
          <w:rFonts w:hint="eastAsia" w:ascii="宋体" w:hAnsi="宋体"/>
          <w:color w:val="auto"/>
          <w:highlight w:val="none"/>
        </w:rPr>
        <w:t xml:space="preserve">                    江西省高速电建新能源有限责任公司</w:t>
      </w:r>
    </w:p>
    <w:p>
      <w:pPr>
        <w:spacing w:before="120" w:beforeLines="50" w:line="440" w:lineRule="exact"/>
        <w:ind w:firstLine="5040" w:firstLineChars="2100"/>
        <w:rPr>
          <w:rFonts w:ascii="宋体" w:hAnsi="宋体"/>
          <w:color w:val="auto"/>
          <w:highlight w:val="none"/>
        </w:rPr>
      </w:pPr>
      <w:r>
        <w:rPr>
          <w:rFonts w:hint="eastAsia" w:ascii="宋体" w:hAnsi="宋体"/>
          <w:color w:val="auto"/>
          <w:highlight w:val="none"/>
        </w:rPr>
        <w:t>202</w:t>
      </w:r>
      <w:r>
        <w:rPr>
          <w:rFonts w:hint="eastAsia" w:ascii="宋体" w:hAnsi="宋体"/>
          <w:color w:val="auto"/>
          <w:highlight w:val="none"/>
          <w:lang w:val="en-US" w:eastAsia="zh-CN"/>
        </w:rPr>
        <w:t>2</w:t>
      </w:r>
      <w:r>
        <w:rPr>
          <w:rFonts w:ascii="宋体" w:hAnsi="宋体"/>
          <w:color w:val="auto"/>
          <w:highlight w:val="none"/>
        </w:rPr>
        <w:t>年</w:t>
      </w:r>
      <w:r>
        <w:rPr>
          <w:rFonts w:hint="eastAsia" w:ascii="宋体" w:hAnsi="宋体"/>
          <w:color w:val="auto"/>
          <w:highlight w:val="none"/>
          <w:lang w:val="en-US" w:eastAsia="zh-CN"/>
        </w:rPr>
        <w:t xml:space="preserve"> 4</w:t>
      </w:r>
      <w:r>
        <w:rPr>
          <w:rFonts w:ascii="宋体" w:hAnsi="宋体"/>
          <w:color w:val="auto"/>
          <w:highlight w:val="none"/>
        </w:rPr>
        <w:t>月</w:t>
      </w:r>
      <w:r>
        <w:rPr>
          <w:rFonts w:hint="eastAsia" w:ascii="宋体" w:hAnsi="宋体"/>
          <w:color w:val="auto"/>
          <w:highlight w:val="none"/>
          <w:lang w:val="en-US" w:eastAsia="zh-CN"/>
        </w:rPr>
        <w:t>8</w:t>
      </w:r>
      <w:r>
        <w:rPr>
          <w:rFonts w:hint="eastAsia" w:ascii="宋体" w:hAnsi="宋体"/>
          <w:color w:val="auto"/>
          <w:highlight w:val="none"/>
        </w:rPr>
        <w:t xml:space="preserve"> </w:t>
      </w:r>
      <w:r>
        <w:rPr>
          <w:rFonts w:ascii="宋体" w:hAnsi="宋体"/>
          <w:color w:val="auto"/>
          <w:highlight w:val="none"/>
        </w:rPr>
        <w:t>日</w:t>
      </w:r>
    </w:p>
    <w:p>
      <w:pPr>
        <w:spacing w:line="520" w:lineRule="exact"/>
        <w:rPr>
          <w:rFonts w:ascii="宋体" w:hAnsi="宋体"/>
          <w:color w:val="auto"/>
          <w:highlight w:val="none"/>
        </w:rPr>
      </w:pPr>
    </w:p>
    <w:p>
      <w:pPr>
        <w:spacing w:line="520" w:lineRule="exact"/>
        <w:rPr>
          <w:rFonts w:ascii="宋体" w:hAnsi="宋体"/>
          <w:color w:val="auto"/>
          <w:highlight w:val="none"/>
        </w:rPr>
      </w:pPr>
    </w:p>
    <w:p>
      <w:pPr>
        <w:spacing w:line="520" w:lineRule="exact"/>
        <w:rPr>
          <w:rFonts w:ascii="宋体" w:hAnsi="宋体"/>
          <w:color w:val="auto"/>
          <w:highlight w:val="none"/>
        </w:rPr>
      </w:pPr>
    </w:p>
    <w:p>
      <w:pPr>
        <w:spacing w:line="520" w:lineRule="exact"/>
        <w:rPr>
          <w:rFonts w:ascii="宋体" w:hAnsi="宋体"/>
          <w:color w:val="auto"/>
          <w:highlight w:val="none"/>
        </w:rPr>
      </w:pPr>
    </w:p>
    <w:p>
      <w:pPr>
        <w:spacing w:line="520" w:lineRule="exact"/>
        <w:rPr>
          <w:rFonts w:ascii="宋体" w:hAnsi="宋体"/>
          <w:color w:val="auto"/>
          <w:highlight w:val="none"/>
        </w:rPr>
      </w:pPr>
    </w:p>
    <w:p>
      <w:pPr>
        <w:spacing w:line="520" w:lineRule="exact"/>
        <w:rPr>
          <w:color w:val="auto"/>
          <w:highlight w:val="none"/>
        </w:rPr>
      </w:pPr>
    </w:p>
    <w:bookmarkEnd w:id="0"/>
    <w:bookmarkEnd w:id="1"/>
    <w:bookmarkEnd w:id="4"/>
    <w:p>
      <w:pPr>
        <w:pStyle w:val="3"/>
        <w:spacing w:before="0" w:after="240"/>
        <w:rPr>
          <w:color w:val="auto"/>
          <w:kern w:val="44"/>
          <w:sz w:val="48"/>
          <w:szCs w:val="48"/>
          <w:highlight w:val="none"/>
        </w:rPr>
      </w:pPr>
      <w:bookmarkStart w:id="16" w:name="_Toc171398724"/>
      <w:bookmarkEnd w:id="16"/>
      <w:bookmarkStart w:id="17" w:name="_Toc171398722"/>
      <w:bookmarkEnd w:id="17"/>
      <w:bookmarkStart w:id="18" w:name="_Toc171398725"/>
      <w:bookmarkEnd w:id="18"/>
      <w:bookmarkStart w:id="19" w:name="_Toc171398723"/>
      <w:bookmarkEnd w:id="19"/>
      <w:bookmarkStart w:id="20" w:name="_Toc171398726"/>
      <w:bookmarkEnd w:id="20"/>
      <w:bookmarkStart w:id="21" w:name="_Toc211597313"/>
      <w:r>
        <w:rPr>
          <w:color w:val="auto"/>
          <w:kern w:val="44"/>
          <w:sz w:val="48"/>
          <w:szCs w:val="48"/>
          <w:highlight w:val="none"/>
        </w:rPr>
        <w:br w:type="page"/>
      </w:r>
    </w:p>
    <w:p>
      <w:pPr>
        <w:pStyle w:val="3"/>
        <w:spacing w:before="0" w:after="240"/>
        <w:rPr>
          <w:color w:val="auto"/>
          <w:kern w:val="44"/>
          <w:sz w:val="48"/>
          <w:szCs w:val="48"/>
          <w:highlight w:val="none"/>
        </w:rPr>
      </w:pPr>
      <w:bookmarkStart w:id="22" w:name="_Toc19831"/>
      <w:r>
        <w:rPr>
          <w:color w:val="auto"/>
          <w:kern w:val="44"/>
          <w:sz w:val="48"/>
          <w:szCs w:val="48"/>
          <w:highlight w:val="none"/>
        </w:rPr>
        <w:t>第</w:t>
      </w:r>
      <w:r>
        <w:rPr>
          <w:rFonts w:hint="eastAsia"/>
          <w:color w:val="auto"/>
          <w:kern w:val="44"/>
          <w:sz w:val="48"/>
          <w:szCs w:val="48"/>
          <w:highlight w:val="none"/>
        </w:rPr>
        <w:t>二</w:t>
      </w:r>
      <w:r>
        <w:rPr>
          <w:color w:val="auto"/>
          <w:kern w:val="44"/>
          <w:sz w:val="48"/>
          <w:szCs w:val="48"/>
          <w:highlight w:val="none"/>
        </w:rPr>
        <w:t xml:space="preserve">章  </w:t>
      </w:r>
      <w:r>
        <w:rPr>
          <w:rFonts w:hint="eastAsia"/>
          <w:color w:val="auto"/>
          <w:kern w:val="44"/>
          <w:sz w:val="48"/>
          <w:szCs w:val="48"/>
          <w:highlight w:val="none"/>
        </w:rPr>
        <w:t>采购</w:t>
      </w:r>
      <w:r>
        <w:rPr>
          <w:color w:val="auto"/>
          <w:kern w:val="44"/>
          <w:sz w:val="48"/>
          <w:szCs w:val="48"/>
          <w:highlight w:val="none"/>
        </w:rPr>
        <w:t>须知</w:t>
      </w:r>
      <w:bookmarkEnd w:id="22"/>
    </w:p>
    <w:p>
      <w:pPr>
        <w:pStyle w:val="4"/>
        <w:spacing w:before="0" w:after="0" w:line="360" w:lineRule="auto"/>
        <w:jc w:val="both"/>
        <w:rPr>
          <w:rFonts w:ascii="宋体" w:hAnsi="宋体"/>
          <w:color w:val="auto"/>
          <w:sz w:val="28"/>
          <w:szCs w:val="28"/>
          <w:highlight w:val="none"/>
        </w:rPr>
      </w:pPr>
      <w:bookmarkStart w:id="23" w:name="_Toc29593"/>
      <w:r>
        <w:rPr>
          <w:rFonts w:hint="eastAsia" w:ascii="宋体" w:hAnsi="宋体"/>
          <w:color w:val="auto"/>
          <w:sz w:val="28"/>
          <w:szCs w:val="28"/>
          <w:highlight w:val="none"/>
        </w:rPr>
        <w:t>采购须知前附表</w:t>
      </w:r>
      <w:bookmarkEnd w:id="23"/>
    </w:p>
    <w:tbl>
      <w:tblPr>
        <w:tblStyle w:val="66"/>
        <w:tblW w:w="88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0"/>
        <w:gridCol w:w="79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项号</w:t>
            </w:r>
          </w:p>
        </w:tc>
        <w:tc>
          <w:tcPr>
            <w:tcW w:w="7958" w:type="dxa"/>
            <w:vAlign w:val="center"/>
          </w:tcPr>
          <w:p>
            <w:pPr>
              <w:spacing w:line="400" w:lineRule="exact"/>
              <w:jc w:val="center"/>
              <w:rPr>
                <w:color w:val="auto"/>
                <w:szCs w:val="21"/>
                <w:highlight w:val="none"/>
              </w:rPr>
            </w:pPr>
            <w:r>
              <w:rPr>
                <w:rFonts w:hint="eastAsia"/>
                <w:color w:val="auto"/>
                <w:szCs w:val="21"/>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1.1.1</w:t>
            </w:r>
          </w:p>
        </w:tc>
        <w:tc>
          <w:tcPr>
            <w:tcW w:w="7958" w:type="dxa"/>
            <w:vAlign w:val="center"/>
          </w:tcPr>
          <w:p>
            <w:pPr>
              <w:autoSpaceDE w:val="0"/>
              <w:autoSpaceDN w:val="0"/>
              <w:adjustRightInd w:val="0"/>
              <w:snapToGrid w:val="0"/>
              <w:spacing w:line="400" w:lineRule="exact"/>
              <w:ind w:right="-533" w:rightChars="-222"/>
              <w:textAlignment w:val="bottom"/>
              <w:rPr>
                <w:color w:val="auto"/>
                <w:szCs w:val="21"/>
                <w:highlight w:val="none"/>
              </w:rPr>
            </w:pPr>
            <w:r>
              <w:rPr>
                <w:rFonts w:hint="eastAsia"/>
                <w:color w:val="auto"/>
                <w:szCs w:val="21"/>
                <w:highlight w:val="none"/>
              </w:rPr>
              <w:t>项目名称：</w:t>
            </w:r>
            <w:r>
              <w:rPr>
                <w:rFonts w:hint="eastAsia"/>
                <w:color w:val="auto"/>
                <w:szCs w:val="21"/>
                <w:highlight w:val="none"/>
                <w:lang w:eastAsia="zh-CN"/>
              </w:rPr>
              <w:t>上固服务区光伏车棚</w:t>
            </w:r>
            <w:r>
              <w:rPr>
                <w:rFonts w:hint="eastAsia"/>
                <w:color w:val="auto"/>
                <w:szCs w:val="21"/>
                <w:highlight w:val="none"/>
              </w:rPr>
              <w:t>设备设施施工项目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1.1.2</w:t>
            </w:r>
          </w:p>
        </w:tc>
        <w:tc>
          <w:tcPr>
            <w:tcW w:w="7958" w:type="dxa"/>
            <w:vAlign w:val="center"/>
          </w:tcPr>
          <w:p>
            <w:pPr>
              <w:autoSpaceDE w:val="0"/>
              <w:autoSpaceDN w:val="0"/>
              <w:adjustRightInd w:val="0"/>
              <w:snapToGrid w:val="0"/>
              <w:spacing w:line="400" w:lineRule="exact"/>
              <w:ind w:left="-51"/>
              <w:textAlignment w:val="bottom"/>
              <w:rPr>
                <w:color w:val="auto"/>
                <w:szCs w:val="21"/>
                <w:highlight w:val="none"/>
              </w:rPr>
            </w:pPr>
            <w:r>
              <w:rPr>
                <w:rFonts w:hint="eastAsia"/>
                <w:color w:val="auto"/>
                <w:szCs w:val="21"/>
                <w:highlight w:val="none"/>
              </w:rPr>
              <w:t>采购人名称：</w:t>
            </w:r>
            <w:r>
              <w:rPr>
                <w:rFonts w:hint="eastAsia" w:ascii="宋体" w:hAnsi="宋体"/>
                <w:color w:val="auto"/>
                <w:szCs w:val="21"/>
                <w:highlight w:val="none"/>
              </w:rPr>
              <w:t>江西省高速电建新能源有限责任公司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1.1.8</w:t>
            </w:r>
          </w:p>
        </w:tc>
        <w:tc>
          <w:tcPr>
            <w:tcW w:w="7958" w:type="dxa"/>
            <w:vAlign w:val="center"/>
          </w:tcPr>
          <w:p>
            <w:pPr>
              <w:spacing w:line="400" w:lineRule="exact"/>
              <w:rPr>
                <w:color w:val="auto"/>
                <w:szCs w:val="21"/>
                <w:highlight w:val="none"/>
              </w:rPr>
            </w:pPr>
            <w:r>
              <w:rPr>
                <w:rFonts w:hint="eastAsia" w:ascii="Times New Roman" w:hAnsi="Times New Roman"/>
                <w:color w:val="auto"/>
                <w:szCs w:val="21"/>
                <w:highlight w:val="none"/>
              </w:rPr>
              <w:t>受货地点：项目建设地点。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2.2.1</w:t>
            </w:r>
          </w:p>
        </w:tc>
        <w:tc>
          <w:tcPr>
            <w:tcW w:w="7958" w:type="dxa"/>
            <w:vAlign w:val="center"/>
          </w:tcPr>
          <w:p>
            <w:pPr>
              <w:spacing w:line="400" w:lineRule="exact"/>
              <w:rPr>
                <w:rFonts w:ascii="Times New Roman" w:hAnsi="Times New Roman"/>
                <w:b/>
                <w:color w:val="auto"/>
                <w:szCs w:val="21"/>
                <w:highlight w:val="none"/>
              </w:rPr>
            </w:pPr>
            <w:r>
              <w:rPr>
                <w:rFonts w:hint="eastAsia" w:ascii="Times New Roman" w:hAnsi="Times New Roman"/>
                <w:b/>
                <w:color w:val="auto"/>
                <w:szCs w:val="21"/>
                <w:highlight w:val="none"/>
              </w:rPr>
              <w:t>响应人要求澄清的截止时间：202</w:t>
            </w:r>
            <w:r>
              <w:rPr>
                <w:rFonts w:hint="eastAsia" w:ascii="Times New Roman" w:hAnsi="Times New Roman"/>
                <w:b/>
                <w:color w:val="auto"/>
                <w:szCs w:val="21"/>
                <w:highlight w:val="none"/>
                <w:lang w:val="en-US" w:eastAsia="zh-CN"/>
              </w:rPr>
              <w:t>2</w:t>
            </w:r>
            <w:r>
              <w:rPr>
                <w:rFonts w:hint="eastAsia" w:ascii="Times New Roman" w:hAnsi="Times New Roman"/>
                <w:b/>
                <w:color w:val="auto"/>
                <w:szCs w:val="21"/>
                <w:highlight w:val="none"/>
              </w:rPr>
              <w:t>年</w:t>
            </w:r>
            <w:r>
              <w:rPr>
                <w:rFonts w:hint="eastAsia" w:ascii="Times New Roman" w:hAnsi="Times New Roman"/>
                <w:b/>
                <w:color w:val="auto"/>
                <w:szCs w:val="21"/>
                <w:highlight w:val="none"/>
                <w:lang w:val="en-US" w:eastAsia="zh-CN"/>
              </w:rPr>
              <w:t>4</w:t>
            </w:r>
            <w:r>
              <w:rPr>
                <w:rFonts w:hint="eastAsia" w:ascii="Times New Roman" w:hAnsi="Times New Roman"/>
                <w:b/>
                <w:color w:val="auto"/>
                <w:szCs w:val="21"/>
                <w:highlight w:val="none"/>
              </w:rPr>
              <w:t xml:space="preserve">月 </w:t>
            </w:r>
            <w:r>
              <w:rPr>
                <w:rFonts w:hint="eastAsia" w:ascii="Times New Roman" w:hAnsi="Times New Roman"/>
                <w:b/>
                <w:color w:val="auto"/>
                <w:szCs w:val="21"/>
                <w:highlight w:val="none"/>
                <w:lang w:val="en-US" w:eastAsia="zh-CN"/>
              </w:rPr>
              <w:t>15</w:t>
            </w:r>
            <w:r>
              <w:rPr>
                <w:rFonts w:hint="eastAsia" w:ascii="Times New Roman" w:hAnsi="Times New Roman"/>
                <w:b/>
                <w:color w:val="auto"/>
                <w:szCs w:val="21"/>
                <w:highlight w:val="none"/>
              </w:rPr>
              <w:t xml:space="preserve"> 日之前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2.2.2</w:t>
            </w:r>
          </w:p>
        </w:tc>
        <w:tc>
          <w:tcPr>
            <w:tcW w:w="7958" w:type="dxa"/>
            <w:vAlign w:val="center"/>
          </w:tcPr>
          <w:p>
            <w:pPr>
              <w:spacing w:line="400" w:lineRule="exact"/>
              <w:rPr>
                <w:rFonts w:ascii="Times New Roman" w:hAnsi="Times New Roman"/>
                <w:b/>
                <w:color w:val="auto"/>
                <w:szCs w:val="21"/>
                <w:highlight w:val="none"/>
              </w:rPr>
            </w:pPr>
            <w:r>
              <w:rPr>
                <w:rFonts w:hint="eastAsia" w:ascii="Times New Roman" w:hAnsi="Times New Roman"/>
                <w:b/>
                <w:color w:val="auto"/>
                <w:szCs w:val="21"/>
                <w:highlight w:val="none"/>
              </w:rPr>
              <w:t>采购人澄清或修改的截止时间：202</w:t>
            </w:r>
            <w:r>
              <w:rPr>
                <w:rFonts w:hint="eastAsia" w:ascii="Times New Roman" w:hAnsi="Times New Roman"/>
                <w:b/>
                <w:color w:val="auto"/>
                <w:szCs w:val="21"/>
                <w:highlight w:val="none"/>
                <w:lang w:val="en-US" w:eastAsia="zh-CN"/>
              </w:rPr>
              <w:t>2</w:t>
            </w:r>
            <w:r>
              <w:rPr>
                <w:rFonts w:hint="eastAsia" w:ascii="Times New Roman" w:hAnsi="Times New Roman"/>
                <w:b/>
                <w:color w:val="auto"/>
                <w:szCs w:val="21"/>
                <w:highlight w:val="none"/>
              </w:rPr>
              <w:t>年</w:t>
            </w:r>
            <w:r>
              <w:rPr>
                <w:rFonts w:hint="eastAsia" w:ascii="Times New Roman" w:hAnsi="Times New Roman"/>
                <w:b/>
                <w:color w:val="auto"/>
                <w:szCs w:val="21"/>
                <w:highlight w:val="none"/>
                <w:lang w:val="en-US" w:eastAsia="zh-CN"/>
              </w:rPr>
              <w:t>4</w:t>
            </w:r>
            <w:r>
              <w:rPr>
                <w:rFonts w:hint="eastAsia" w:ascii="Times New Roman" w:hAnsi="Times New Roman"/>
                <w:b/>
                <w:color w:val="auto"/>
                <w:szCs w:val="21"/>
                <w:highlight w:val="none"/>
              </w:rPr>
              <w:t xml:space="preserve">月 </w:t>
            </w:r>
            <w:r>
              <w:rPr>
                <w:rFonts w:hint="eastAsia" w:ascii="Times New Roman" w:hAnsi="Times New Roman"/>
                <w:b/>
                <w:color w:val="auto"/>
                <w:szCs w:val="21"/>
                <w:highlight w:val="none"/>
                <w:lang w:val="en-US" w:eastAsia="zh-CN"/>
              </w:rPr>
              <w:t>18</w:t>
            </w:r>
            <w:r>
              <w:rPr>
                <w:rFonts w:hint="eastAsia" w:ascii="Times New Roman" w:hAnsi="Times New Roman"/>
                <w:b/>
                <w:color w:val="auto"/>
                <w:szCs w:val="21"/>
                <w:highlight w:val="none"/>
              </w:rPr>
              <w:t xml:space="preserve"> 日之前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3.2.5</w:t>
            </w:r>
          </w:p>
        </w:tc>
        <w:tc>
          <w:tcPr>
            <w:tcW w:w="7958" w:type="dxa"/>
            <w:vAlign w:val="center"/>
          </w:tcPr>
          <w:p>
            <w:pPr>
              <w:spacing w:line="400" w:lineRule="exact"/>
              <w:rPr>
                <w:rFonts w:ascii="Times New Roman" w:hAnsi="Times New Roman"/>
                <w:b/>
                <w:color w:val="auto"/>
                <w:szCs w:val="21"/>
                <w:highlight w:val="none"/>
              </w:rPr>
            </w:pPr>
            <w:r>
              <w:rPr>
                <w:rFonts w:hint="eastAsia"/>
                <w:color w:val="auto"/>
                <w:szCs w:val="21"/>
                <w:highlight w:val="none"/>
              </w:rPr>
              <w:t>调价：合同执行期间，</w:t>
            </w:r>
            <w:r>
              <w:rPr>
                <w:rFonts w:hint="eastAsia"/>
                <w:color w:val="auto"/>
                <w:szCs w:val="21"/>
                <w:highlight w:val="none"/>
                <w:lang w:val="en-US" w:eastAsia="zh-CN"/>
              </w:rPr>
              <w:t>单</w:t>
            </w:r>
            <w:r>
              <w:rPr>
                <w:rFonts w:hint="eastAsia"/>
                <w:color w:val="auto"/>
                <w:szCs w:val="21"/>
                <w:highlight w:val="none"/>
              </w:rPr>
              <w:t>价不进行调整。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3"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3.2.7</w:t>
            </w:r>
          </w:p>
        </w:tc>
        <w:tc>
          <w:tcPr>
            <w:tcW w:w="7958" w:type="dxa"/>
            <w:vAlign w:val="center"/>
          </w:tcPr>
          <w:p>
            <w:pPr>
              <w:spacing w:line="400" w:lineRule="exact"/>
              <w:rPr>
                <w:rFonts w:ascii="Times New Roman" w:hAnsi="Times New Roman"/>
                <w:b/>
                <w:color w:val="auto"/>
                <w:szCs w:val="21"/>
                <w:highlight w:val="none"/>
              </w:rPr>
            </w:pPr>
            <w:r>
              <w:rPr>
                <w:rFonts w:hint="eastAsia" w:ascii="Times New Roman" w:hAnsi="Times New Roman"/>
                <w:b/>
                <w:color w:val="auto"/>
                <w:szCs w:val="21"/>
                <w:highlight w:val="none"/>
              </w:rPr>
              <w:t>最高成交限价：</w:t>
            </w:r>
            <w:r>
              <w:rPr>
                <w:rFonts w:hint="eastAsia" w:ascii="Times New Roman" w:hAnsi="Times New Roman"/>
                <w:b/>
                <w:color w:val="auto"/>
                <w:szCs w:val="21"/>
                <w:highlight w:val="none"/>
                <w:lang w:val="en-US" w:eastAsia="zh-CN"/>
              </w:rPr>
              <w:t>16</w:t>
            </w:r>
            <w:r>
              <w:rPr>
                <w:rFonts w:hint="eastAsia" w:ascii="Times New Roman" w:hAnsi="Times New Roman"/>
                <w:b/>
                <w:color w:val="auto"/>
                <w:szCs w:val="21"/>
                <w:highlight w:val="none"/>
              </w:rPr>
              <w:t>万元。</w:t>
            </w:r>
            <w:r>
              <w:rPr>
                <w:rFonts w:ascii="Times New Roman" w:hAnsi="Times New Roman"/>
                <w:b/>
                <w:color w:val="auto"/>
                <w:szCs w:val="21"/>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9"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3.5.2</w:t>
            </w:r>
          </w:p>
        </w:tc>
        <w:tc>
          <w:tcPr>
            <w:tcW w:w="7958" w:type="dxa"/>
            <w:vAlign w:val="center"/>
          </w:tcPr>
          <w:p>
            <w:pPr>
              <w:spacing w:line="400" w:lineRule="exact"/>
              <w:rPr>
                <w:color w:val="auto"/>
                <w:szCs w:val="21"/>
                <w:highlight w:val="none"/>
              </w:rPr>
            </w:pPr>
            <w:r>
              <w:rPr>
                <w:rFonts w:hint="eastAsia" w:ascii="Times New Roman" w:hAnsi="Times New Roman"/>
                <w:b/>
                <w:color w:val="auto"/>
                <w:szCs w:val="21"/>
                <w:highlight w:val="none"/>
              </w:rPr>
              <w:t>响应</w:t>
            </w:r>
            <w:r>
              <w:rPr>
                <w:rFonts w:ascii="Times New Roman" w:hAnsi="Times New Roman"/>
                <w:b/>
                <w:color w:val="auto"/>
                <w:szCs w:val="21"/>
                <w:highlight w:val="none"/>
              </w:rPr>
              <w:t>文件应用不褪色的墨水书写或打印</w:t>
            </w:r>
            <w:r>
              <w:rPr>
                <w:rFonts w:hint="eastAsia" w:ascii="Times New Roman" w:hAnsi="Times New Roman"/>
                <w:b/>
                <w:color w:val="auto"/>
                <w:szCs w:val="21"/>
                <w:highlight w:val="none"/>
              </w:rPr>
              <w:t>，</w:t>
            </w:r>
            <w:r>
              <w:rPr>
                <w:rFonts w:ascii="宋体" w:hAnsi="宋体"/>
                <w:color w:val="auto"/>
                <w:szCs w:val="21"/>
                <w:highlight w:val="none"/>
              </w:rPr>
              <w:t>由</w:t>
            </w:r>
            <w:r>
              <w:rPr>
                <w:rFonts w:hint="eastAsia" w:ascii="宋体" w:hAnsi="宋体"/>
                <w:color w:val="auto"/>
                <w:szCs w:val="21"/>
                <w:highlight w:val="none"/>
              </w:rPr>
              <w:t>响应人</w:t>
            </w:r>
            <w:r>
              <w:rPr>
                <w:rFonts w:ascii="宋体" w:hAnsi="宋体"/>
                <w:color w:val="auto"/>
                <w:szCs w:val="21"/>
                <w:highlight w:val="none"/>
              </w:rPr>
              <w:t>的法定代表人或其授权的代理人</w:t>
            </w:r>
            <w:r>
              <w:rPr>
                <w:rFonts w:hint="eastAsia" w:ascii="宋体" w:hAnsi="宋体"/>
                <w:color w:val="auto"/>
                <w:szCs w:val="21"/>
                <w:highlight w:val="none"/>
              </w:rPr>
              <w:t>在指定页</w:t>
            </w:r>
            <w:r>
              <w:rPr>
                <w:rFonts w:ascii="宋体" w:hAnsi="宋体"/>
                <w:color w:val="auto"/>
                <w:szCs w:val="21"/>
                <w:highlight w:val="none"/>
              </w:rPr>
              <w:t>签署</w:t>
            </w:r>
            <w:r>
              <w:rPr>
                <w:rFonts w:hint="eastAsia" w:ascii="宋体" w:hAnsi="宋体"/>
                <w:color w:val="auto"/>
                <w:szCs w:val="21"/>
                <w:highlight w:val="none"/>
              </w:rPr>
              <w:t>姓名或加盖公章，未按要求</w:t>
            </w:r>
            <w:r>
              <w:rPr>
                <w:rFonts w:ascii="宋体" w:hAnsi="宋体"/>
                <w:color w:val="auto"/>
                <w:szCs w:val="21"/>
                <w:highlight w:val="none"/>
              </w:rPr>
              <w:t>签署</w:t>
            </w:r>
            <w:r>
              <w:rPr>
                <w:rFonts w:hint="eastAsia" w:ascii="宋体" w:hAnsi="宋体"/>
                <w:color w:val="auto"/>
                <w:szCs w:val="21"/>
                <w:highlight w:val="none"/>
              </w:rPr>
              <w:t>姓名或加盖公章的</w:t>
            </w:r>
            <w:r>
              <w:rPr>
                <w:rFonts w:ascii="宋体" w:hAnsi="宋体"/>
                <w:color w:val="auto"/>
                <w:szCs w:val="21"/>
                <w:highlight w:val="none"/>
              </w:rPr>
              <w:t>，</w:t>
            </w:r>
            <w:r>
              <w:rPr>
                <w:rFonts w:hint="eastAsia" w:ascii="宋体" w:hAnsi="宋体"/>
                <w:color w:val="auto"/>
                <w:szCs w:val="21"/>
                <w:highlight w:val="none"/>
              </w:rPr>
              <w:t>其响应文件将无效</w:t>
            </w:r>
            <w:r>
              <w:rPr>
                <w:rFonts w:ascii="宋体" w:hAnsi="宋体"/>
                <w:color w:val="auto"/>
                <w:szCs w:val="21"/>
                <w:highlight w:val="none"/>
              </w:rPr>
              <w:t>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3.6.2</w:t>
            </w:r>
          </w:p>
        </w:tc>
        <w:tc>
          <w:tcPr>
            <w:tcW w:w="7958" w:type="dxa"/>
            <w:vAlign w:val="center"/>
          </w:tcPr>
          <w:p>
            <w:pPr>
              <w:spacing w:line="400" w:lineRule="exact"/>
              <w:rPr>
                <w:color w:val="auto"/>
                <w:szCs w:val="21"/>
                <w:highlight w:val="none"/>
              </w:rPr>
            </w:pPr>
            <w:r>
              <w:rPr>
                <w:rFonts w:hint="eastAsia"/>
                <w:color w:val="auto"/>
                <w:szCs w:val="21"/>
                <w:highlight w:val="none"/>
              </w:rPr>
              <w:t>响应文件份数：正本一份，副本一份。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9" w:hRule="atLeast"/>
          <w:jc w:val="center"/>
        </w:trPr>
        <w:tc>
          <w:tcPr>
            <w:tcW w:w="900" w:type="dxa"/>
            <w:vAlign w:val="center"/>
          </w:tcPr>
          <w:p>
            <w:pPr>
              <w:spacing w:line="400" w:lineRule="exact"/>
              <w:jc w:val="center"/>
              <w:rPr>
                <w:color w:val="auto"/>
                <w:szCs w:val="21"/>
                <w:highlight w:val="none"/>
              </w:rPr>
            </w:pPr>
            <w:r>
              <w:rPr>
                <w:rFonts w:hint="eastAsia"/>
                <w:color w:val="auto"/>
                <w:szCs w:val="21"/>
                <w:highlight w:val="none"/>
              </w:rPr>
              <w:t>3.7.1</w:t>
            </w:r>
          </w:p>
        </w:tc>
        <w:tc>
          <w:tcPr>
            <w:tcW w:w="7958" w:type="dxa"/>
            <w:vAlign w:val="center"/>
          </w:tcPr>
          <w:p>
            <w:pPr>
              <w:spacing w:line="400" w:lineRule="exact"/>
              <w:rPr>
                <w:color w:val="auto"/>
                <w:szCs w:val="21"/>
                <w:highlight w:val="none"/>
              </w:rPr>
            </w:pPr>
            <w:r>
              <w:rPr>
                <w:rFonts w:hint="eastAsia"/>
                <w:color w:val="auto"/>
                <w:szCs w:val="21"/>
                <w:highlight w:val="none"/>
              </w:rPr>
              <w:t>响应文件递交截止时间：</w:t>
            </w:r>
            <w:r>
              <w:rPr>
                <w:rFonts w:hint="eastAsia" w:ascii="Times New Roman" w:hAnsi="Times New Roman"/>
                <w:b/>
                <w:color w:val="auto"/>
                <w:szCs w:val="21"/>
                <w:highlight w:val="none"/>
              </w:rPr>
              <w:t>202</w:t>
            </w:r>
            <w:r>
              <w:rPr>
                <w:rFonts w:hint="eastAsia" w:ascii="Times New Roman" w:hAnsi="Times New Roman"/>
                <w:b/>
                <w:color w:val="auto"/>
                <w:szCs w:val="21"/>
                <w:highlight w:val="none"/>
                <w:lang w:val="en-US" w:eastAsia="zh-CN"/>
              </w:rPr>
              <w:t>2</w:t>
            </w:r>
            <w:r>
              <w:rPr>
                <w:rFonts w:hint="eastAsia" w:ascii="Times New Roman" w:hAnsi="Times New Roman"/>
                <w:b/>
                <w:color w:val="auto"/>
                <w:szCs w:val="21"/>
                <w:highlight w:val="none"/>
              </w:rPr>
              <w:t>年</w:t>
            </w:r>
            <w:r>
              <w:rPr>
                <w:rFonts w:hint="eastAsia" w:ascii="Times New Roman" w:hAnsi="Times New Roman"/>
                <w:b/>
                <w:color w:val="auto"/>
                <w:szCs w:val="21"/>
                <w:highlight w:val="none"/>
                <w:lang w:val="en-US" w:eastAsia="zh-CN"/>
              </w:rPr>
              <w:t>4</w:t>
            </w:r>
            <w:r>
              <w:rPr>
                <w:rFonts w:hint="eastAsia" w:ascii="Times New Roman" w:hAnsi="Times New Roman"/>
                <w:b/>
                <w:color w:val="auto"/>
                <w:szCs w:val="21"/>
                <w:highlight w:val="none"/>
              </w:rPr>
              <w:t>月</w:t>
            </w:r>
            <w:r>
              <w:rPr>
                <w:rFonts w:hint="eastAsia" w:ascii="Times New Roman" w:hAnsi="Times New Roman"/>
                <w:b/>
                <w:color w:val="auto"/>
                <w:szCs w:val="21"/>
                <w:highlight w:val="none"/>
                <w:lang w:val="en-US" w:eastAsia="zh-CN"/>
              </w:rPr>
              <w:t xml:space="preserve"> 18</w:t>
            </w:r>
            <w:r>
              <w:rPr>
                <w:rFonts w:hint="eastAsia" w:ascii="Times New Roman" w:hAnsi="Times New Roman"/>
                <w:b/>
                <w:color w:val="auto"/>
                <w:szCs w:val="21"/>
                <w:highlight w:val="none"/>
              </w:rPr>
              <w:t xml:space="preserve">  日</w:t>
            </w:r>
            <w:r>
              <w:rPr>
                <w:rFonts w:hint="eastAsia"/>
                <w:color w:val="auto"/>
                <w:szCs w:val="21"/>
                <w:highlight w:val="none"/>
                <w:u w:val="single"/>
              </w:rPr>
              <w:t>1</w:t>
            </w:r>
            <w:r>
              <w:rPr>
                <w:rFonts w:hint="eastAsia"/>
                <w:color w:val="auto"/>
                <w:szCs w:val="21"/>
                <w:highlight w:val="none"/>
                <w:u w:val="single"/>
                <w:lang w:val="en-US" w:eastAsia="zh-CN"/>
              </w:rPr>
              <w:t>6</w:t>
            </w:r>
            <w:r>
              <w:rPr>
                <w:color w:val="auto"/>
                <w:szCs w:val="21"/>
                <w:highlight w:val="none"/>
              </w:rPr>
              <w:t>时</w:t>
            </w:r>
            <w:r>
              <w:rPr>
                <w:rFonts w:hint="eastAsia"/>
                <w:color w:val="auto"/>
                <w:szCs w:val="21"/>
                <w:highlight w:val="none"/>
              </w:rPr>
              <w:t>00分</w:t>
            </w:r>
          </w:p>
          <w:p>
            <w:pPr>
              <w:spacing w:line="400" w:lineRule="exact"/>
              <w:rPr>
                <w:color w:val="auto"/>
                <w:szCs w:val="21"/>
                <w:highlight w:val="none"/>
              </w:rPr>
            </w:pPr>
            <w:r>
              <w:rPr>
                <w:rFonts w:hint="eastAsia"/>
                <w:color w:val="auto"/>
                <w:szCs w:val="21"/>
                <w:highlight w:val="none"/>
              </w:rPr>
              <w:t>响应文件递交地址：</w:t>
            </w:r>
            <w:r>
              <w:rPr>
                <w:rFonts w:hint="eastAsia" w:ascii="宋体" w:hAnsi="宋体"/>
                <w:color w:val="auto"/>
                <w:szCs w:val="21"/>
                <w:highlight w:val="none"/>
              </w:rPr>
              <w:t>江西省南昌市西湖区广场南路136号交通物资大楼3楼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0" w:type="dxa"/>
            <w:vAlign w:val="center"/>
          </w:tcPr>
          <w:p>
            <w:pPr>
              <w:autoSpaceDE w:val="0"/>
              <w:autoSpaceDN w:val="0"/>
              <w:adjustRightInd w:val="0"/>
              <w:snapToGrid w:val="0"/>
              <w:spacing w:line="400" w:lineRule="exact"/>
              <w:jc w:val="center"/>
              <w:textAlignment w:val="bottom"/>
              <w:rPr>
                <w:color w:val="auto"/>
                <w:szCs w:val="21"/>
                <w:highlight w:val="none"/>
              </w:rPr>
            </w:pPr>
            <w:r>
              <w:rPr>
                <w:rFonts w:hint="eastAsia"/>
                <w:color w:val="auto"/>
                <w:szCs w:val="21"/>
                <w:highlight w:val="none"/>
              </w:rPr>
              <w:t>4.1</w:t>
            </w:r>
          </w:p>
        </w:tc>
        <w:tc>
          <w:tcPr>
            <w:tcW w:w="7958" w:type="dxa"/>
          </w:tcPr>
          <w:p>
            <w:pPr>
              <w:spacing w:line="400" w:lineRule="exact"/>
              <w:rPr>
                <w:color w:val="auto"/>
                <w:szCs w:val="21"/>
                <w:highlight w:val="none"/>
              </w:rPr>
            </w:pPr>
            <w:r>
              <w:rPr>
                <w:rFonts w:hint="eastAsia"/>
                <w:color w:val="auto"/>
                <w:szCs w:val="21"/>
                <w:highlight w:val="none"/>
              </w:rPr>
              <w:t>响应文件开启时间：</w:t>
            </w:r>
            <w:r>
              <w:rPr>
                <w:rFonts w:hint="eastAsia" w:ascii="Times New Roman" w:hAnsi="Times New Roman"/>
                <w:b/>
                <w:color w:val="auto"/>
                <w:szCs w:val="21"/>
                <w:highlight w:val="none"/>
              </w:rPr>
              <w:t>202</w:t>
            </w:r>
            <w:r>
              <w:rPr>
                <w:rFonts w:hint="eastAsia" w:ascii="Times New Roman" w:hAnsi="Times New Roman"/>
                <w:b/>
                <w:color w:val="auto"/>
                <w:szCs w:val="21"/>
                <w:highlight w:val="none"/>
                <w:lang w:val="en-US" w:eastAsia="zh-CN"/>
              </w:rPr>
              <w:t>2</w:t>
            </w:r>
            <w:r>
              <w:rPr>
                <w:rFonts w:hint="eastAsia" w:ascii="Times New Roman" w:hAnsi="Times New Roman"/>
                <w:b/>
                <w:color w:val="auto"/>
                <w:szCs w:val="21"/>
                <w:highlight w:val="none"/>
              </w:rPr>
              <w:t>年</w:t>
            </w:r>
            <w:r>
              <w:rPr>
                <w:rFonts w:hint="eastAsia" w:ascii="Times New Roman" w:hAnsi="Times New Roman"/>
                <w:b/>
                <w:color w:val="auto"/>
                <w:szCs w:val="21"/>
                <w:highlight w:val="none"/>
                <w:lang w:val="en-US" w:eastAsia="zh-CN"/>
              </w:rPr>
              <w:t>4</w:t>
            </w:r>
            <w:r>
              <w:rPr>
                <w:rFonts w:hint="eastAsia" w:ascii="Times New Roman" w:hAnsi="Times New Roman"/>
                <w:b/>
                <w:color w:val="auto"/>
                <w:szCs w:val="21"/>
                <w:highlight w:val="none"/>
              </w:rPr>
              <w:t xml:space="preserve">月 </w:t>
            </w:r>
            <w:r>
              <w:rPr>
                <w:rFonts w:hint="eastAsia" w:ascii="Times New Roman" w:hAnsi="Times New Roman"/>
                <w:b/>
                <w:color w:val="auto"/>
                <w:szCs w:val="21"/>
                <w:highlight w:val="none"/>
                <w:lang w:val="en-US" w:eastAsia="zh-CN"/>
              </w:rPr>
              <w:t>19</w:t>
            </w:r>
            <w:r>
              <w:rPr>
                <w:rFonts w:hint="eastAsia" w:ascii="Times New Roman" w:hAnsi="Times New Roman"/>
                <w:b/>
                <w:color w:val="auto"/>
                <w:szCs w:val="21"/>
                <w:highlight w:val="none"/>
              </w:rPr>
              <w:t xml:space="preserve"> 日</w:t>
            </w:r>
            <w:r>
              <w:rPr>
                <w:rFonts w:hint="eastAsia"/>
                <w:color w:val="auto"/>
                <w:szCs w:val="21"/>
                <w:highlight w:val="none"/>
                <w:u w:val="single"/>
              </w:rPr>
              <w:t>16</w:t>
            </w:r>
            <w:r>
              <w:rPr>
                <w:color w:val="auto"/>
                <w:szCs w:val="21"/>
                <w:highlight w:val="none"/>
              </w:rPr>
              <w:t>时</w:t>
            </w:r>
            <w:r>
              <w:rPr>
                <w:rFonts w:hint="eastAsia"/>
                <w:color w:val="auto"/>
                <w:szCs w:val="21"/>
                <w:highlight w:val="none"/>
                <w:u w:val="single"/>
              </w:rPr>
              <w:t>00</w:t>
            </w:r>
            <w:r>
              <w:rPr>
                <w:rFonts w:hint="eastAsia"/>
                <w:color w:val="auto"/>
                <w:szCs w:val="21"/>
                <w:highlight w:val="none"/>
              </w:rPr>
              <w:t>分</w:t>
            </w:r>
          </w:p>
          <w:p>
            <w:pPr>
              <w:adjustRightInd w:val="0"/>
              <w:snapToGrid w:val="0"/>
              <w:spacing w:line="400" w:lineRule="exact"/>
              <w:ind w:left="-51"/>
              <w:rPr>
                <w:color w:val="auto"/>
                <w:szCs w:val="21"/>
                <w:highlight w:val="none"/>
              </w:rPr>
            </w:pPr>
            <w:r>
              <w:rPr>
                <w:rFonts w:hint="eastAsia"/>
                <w:color w:val="auto"/>
                <w:szCs w:val="21"/>
                <w:highlight w:val="none"/>
              </w:rPr>
              <w:t>响应文件开启地点：</w:t>
            </w:r>
            <w:r>
              <w:rPr>
                <w:rFonts w:hint="eastAsia" w:ascii="宋体" w:hAnsi="宋体"/>
                <w:color w:val="auto"/>
                <w:szCs w:val="21"/>
                <w:highlight w:val="none"/>
              </w:rPr>
              <w:t>江西省南昌市西湖区广场南路136号交通物资大楼3楼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0" w:type="dxa"/>
            <w:vAlign w:val="center"/>
          </w:tcPr>
          <w:p>
            <w:pPr>
              <w:autoSpaceDE w:val="0"/>
              <w:autoSpaceDN w:val="0"/>
              <w:adjustRightInd w:val="0"/>
              <w:snapToGrid w:val="0"/>
              <w:spacing w:line="400" w:lineRule="exact"/>
              <w:jc w:val="center"/>
              <w:textAlignment w:val="bottom"/>
              <w:rPr>
                <w:color w:val="auto"/>
                <w:szCs w:val="21"/>
                <w:highlight w:val="none"/>
              </w:rPr>
            </w:pPr>
            <w:r>
              <w:rPr>
                <w:rFonts w:hint="eastAsia"/>
                <w:color w:val="auto"/>
                <w:szCs w:val="21"/>
                <w:highlight w:val="none"/>
              </w:rPr>
              <w:t>5.3</w:t>
            </w:r>
          </w:p>
        </w:tc>
        <w:tc>
          <w:tcPr>
            <w:tcW w:w="7958" w:type="dxa"/>
          </w:tcPr>
          <w:p>
            <w:pPr>
              <w:spacing w:line="360" w:lineRule="exact"/>
              <w:rPr>
                <w:color w:val="auto"/>
                <w:szCs w:val="21"/>
                <w:highlight w:val="none"/>
              </w:rPr>
            </w:pPr>
            <w:r>
              <w:rPr>
                <w:rFonts w:hint="eastAsia"/>
                <w:color w:val="auto"/>
                <w:szCs w:val="21"/>
                <w:highlight w:val="none"/>
              </w:rPr>
              <w:t>履约担保：</w:t>
            </w:r>
          </w:p>
          <w:p>
            <w:pPr>
              <w:spacing w:line="360" w:lineRule="exact"/>
              <w:ind w:firstLine="480" w:firstLineChars="200"/>
              <w:rPr>
                <w:color w:val="auto"/>
                <w:szCs w:val="21"/>
                <w:highlight w:val="none"/>
              </w:rPr>
            </w:pPr>
            <w:r>
              <w:rPr>
                <w:color w:val="auto"/>
                <w:szCs w:val="21"/>
                <w:highlight w:val="none"/>
              </w:rPr>
              <w:t>履约担保金额：</w:t>
            </w:r>
            <w:r>
              <w:rPr>
                <w:rFonts w:hint="eastAsia"/>
                <w:color w:val="auto"/>
                <w:szCs w:val="21"/>
                <w:highlight w:val="none"/>
              </w:rPr>
              <w:t>无</w:t>
            </w:r>
          </w:p>
        </w:tc>
      </w:tr>
    </w:tbl>
    <w:p>
      <w:pPr>
        <w:rPr>
          <w:color w:val="auto"/>
          <w:highlight w:val="none"/>
        </w:rPr>
      </w:pPr>
      <w:r>
        <w:rPr>
          <w:color w:val="auto"/>
          <w:highlight w:val="none"/>
        </w:rPr>
        <w:br w:type="page"/>
      </w:r>
    </w:p>
    <w:p>
      <w:pPr>
        <w:pStyle w:val="4"/>
        <w:spacing w:before="240" w:after="120" w:line="360" w:lineRule="auto"/>
        <w:jc w:val="both"/>
        <w:rPr>
          <w:rFonts w:ascii="宋体" w:hAnsi="宋体"/>
          <w:color w:val="auto"/>
          <w:sz w:val="28"/>
          <w:szCs w:val="28"/>
          <w:highlight w:val="none"/>
        </w:rPr>
      </w:pPr>
      <w:bookmarkStart w:id="24" w:name="_Toc2836"/>
      <w:r>
        <w:rPr>
          <w:rFonts w:hint="eastAsia" w:ascii="宋体" w:hAnsi="宋体"/>
          <w:color w:val="auto"/>
          <w:sz w:val="28"/>
          <w:szCs w:val="28"/>
          <w:highlight w:val="none"/>
        </w:rPr>
        <w:t>1  总则</w:t>
      </w:r>
      <w:bookmarkEnd w:id="24"/>
    </w:p>
    <w:p>
      <w:pPr>
        <w:pStyle w:val="5"/>
        <w:spacing w:before="120" w:after="120" w:line="360" w:lineRule="auto"/>
        <w:jc w:val="left"/>
        <w:rPr>
          <w:rFonts w:ascii="宋体" w:hAnsi="宋体"/>
          <w:color w:val="auto"/>
          <w:sz w:val="24"/>
          <w:szCs w:val="24"/>
          <w:highlight w:val="none"/>
        </w:rPr>
      </w:pPr>
      <w:bookmarkStart w:id="25" w:name="_Toc26091"/>
      <w:r>
        <w:rPr>
          <w:rFonts w:hint="eastAsia" w:ascii="宋体" w:hAnsi="宋体"/>
          <w:color w:val="auto"/>
          <w:sz w:val="24"/>
          <w:szCs w:val="24"/>
          <w:highlight w:val="none"/>
        </w:rPr>
        <w:t>1.1 定义</w:t>
      </w:r>
      <w:bookmarkEnd w:id="25"/>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1.1.1  本采购文件仅适用于</w:t>
      </w:r>
      <w:r>
        <w:rPr>
          <w:rFonts w:hint="eastAsia" w:ascii="宋体" w:hAnsi="宋体"/>
          <w:color w:val="auto"/>
          <w:szCs w:val="24"/>
          <w:highlight w:val="none"/>
          <w:lang w:eastAsia="zh-CN"/>
        </w:rPr>
        <w:t>上固服务区</w:t>
      </w:r>
      <w:r>
        <w:rPr>
          <w:rFonts w:hint="eastAsia" w:ascii="宋体" w:hAnsi="宋体"/>
          <w:color w:val="auto"/>
          <w:szCs w:val="24"/>
          <w:highlight w:val="none"/>
        </w:rPr>
        <w:t>设备设施施工项目采购中所述工程、设备及相关服务。</w:t>
      </w:r>
    </w:p>
    <w:p>
      <w:pPr>
        <w:spacing w:line="480" w:lineRule="exact"/>
        <w:ind w:firstLine="480" w:firstLineChars="200"/>
        <w:rPr>
          <w:rFonts w:ascii="宋体" w:hAnsi="宋体"/>
          <w:color w:val="auto"/>
          <w:szCs w:val="24"/>
          <w:highlight w:val="none"/>
        </w:rPr>
      </w:pPr>
      <w:bookmarkStart w:id="26" w:name="_Toc65637146"/>
      <w:r>
        <w:rPr>
          <w:rFonts w:hint="eastAsia" w:ascii="宋体" w:hAnsi="宋体"/>
          <w:color w:val="auto"/>
          <w:szCs w:val="24"/>
          <w:highlight w:val="none"/>
        </w:rPr>
        <w:t>1.1.2</w:t>
      </w:r>
      <w:bookmarkEnd w:id="26"/>
      <w:r>
        <w:rPr>
          <w:rFonts w:hint="eastAsia" w:ascii="宋体" w:hAnsi="宋体"/>
          <w:color w:val="auto"/>
          <w:szCs w:val="24"/>
          <w:highlight w:val="none"/>
        </w:rPr>
        <w:t xml:space="preserve"> “采购人”系指江西省高速电建新能源有限责任公司。</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1.1.3 “响应人”系指响应本次采购、愿意提供本次光伏发电系统项目的工程、设备及相关服务的法人或其他组织。</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1.1.4 “成交承包商”系指向采购人提供本次光伏发电系统项目的工程、设备及相关服务的承包商。</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1.1.5“工程”系指成交承包商向采购人提供的光伏发电系统项目的永久工程和（或）临时工程，</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1.1.6 “设备”系指成交承包商向采购人提供的构成永久工程一部分的机电设备、仪器装置及其他类似的设备和装置。</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1.1.7 “服务”系指采购文件规定成交承包商须承担的技术协助、保修以及其他类似的义务。</w:t>
      </w:r>
      <w:bookmarkStart w:id="27" w:name="_Toc26040489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1.1.8 “受货地点”指项目建设地点。</w:t>
      </w:r>
    </w:p>
    <w:p>
      <w:pPr>
        <w:pStyle w:val="5"/>
        <w:spacing w:before="120" w:after="120" w:line="360" w:lineRule="auto"/>
        <w:jc w:val="left"/>
        <w:rPr>
          <w:rFonts w:ascii="宋体" w:hAnsi="宋体"/>
          <w:color w:val="auto"/>
          <w:sz w:val="24"/>
          <w:szCs w:val="24"/>
          <w:highlight w:val="none"/>
        </w:rPr>
      </w:pPr>
      <w:bookmarkStart w:id="28" w:name="_Toc29889"/>
      <w:r>
        <w:rPr>
          <w:rFonts w:hint="eastAsia" w:ascii="宋体" w:hAnsi="宋体"/>
          <w:color w:val="auto"/>
          <w:sz w:val="24"/>
          <w:szCs w:val="24"/>
          <w:highlight w:val="none"/>
        </w:rPr>
        <w:t>1.2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承包商</w:t>
      </w:r>
      <w:r>
        <w:rPr>
          <w:rFonts w:ascii="宋体" w:hAnsi="宋体"/>
          <w:color w:val="auto"/>
          <w:sz w:val="24"/>
          <w:szCs w:val="24"/>
          <w:highlight w:val="none"/>
        </w:rPr>
        <w:t>的合格条件</w:t>
      </w:r>
      <w:bookmarkEnd w:id="2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w:t>
      </w:r>
      <w:r>
        <w:rPr>
          <w:rFonts w:ascii="宋体" w:hAnsi="宋体"/>
          <w:color w:val="auto"/>
          <w:szCs w:val="24"/>
          <w:highlight w:val="none"/>
        </w:rPr>
        <w:t>.</w:t>
      </w:r>
      <w:r>
        <w:rPr>
          <w:rFonts w:hint="eastAsia" w:ascii="宋体" w:hAnsi="宋体"/>
          <w:color w:val="auto"/>
          <w:szCs w:val="24"/>
          <w:highlight w:val="none"/>
        </w:rPr>
        <w:t>2.1</w:t>
      </w:r>
      <w:r>
        <w:rPr>
          <w:rFonts w:ascii="宋体" w:hAnsi="宋体"/>
          <w:color w:val="auto"/>
          <w:szCs w:val="24"/>
          <w:highlight w:val="none"/>
        </w:rPr>
        <w:t xml:space="preserve"> </w:t>
      </w:r>
      <w:r>
        <w:rPr>
          <w:rFonts w:hint="eastAsia" w:ascii="宋体" w:hAnsi="宋体"/>
          <w:color w:val="auto"/>
          <w:szCs w:val="24"/>
          <w:highlight w:val="none"/>
        </w:rPr>
        <w:t xml:space="preserve"> 响应人</w:t>
      </w:r>
      <w:r>
        <w:rPr>
          <w:rFonts w:ascii="宋体" w:hAnsi="宋体"/>
          <w:color w:val="auto"/>
          <w:szCs w:val="24"/>
          <w:highlight w:val="none"/>
        </w:rPr>
        <w:t>的</w:t>
      </w:r>
      <w:r>
        <w:rPr>
          <w:rFonts w:hint="eastAsia" w:ascii="宋体" w:hAnsi="宋体"/>
          <w:color w:val="auto"/>
          <w:szCs w:val="24"/>
          <w:highlight w:val="none"/>
        </w:rPr>
        <w:t>采购响应</w:t>
      </w:r>
      <w:r>
        <w:rPr>
          <w:rFonts w:ascii="宋体" w:hAnsi="宋体"/>
          <w:color w:val="auto"/>
          <w:szCs w:val="24"/>
          <w:highlight w:val="none"/>
        </w:rPr>
        <w:t>文件格式和内容均应满足</w:t>
      </w:r>
      <w:r>
        <w:rPr>
          <w:rFonts w:hint="eastAsia" w:ascii="宋体" w:hAnsi="宋体"/>
          <w:color w:val="auto"/>
          <w:szCs w:val="24"/>
          <w:highlight w:val="none"/>
        </w:rPr>
        <w:t>采购</w:t>
      </w:r>
      <w:r>
        <w:rPr>
          <w:rFonts w:ascii="宋体" w:hAnsi="宋体"/>
          <w:color w:val="auto"/>
          <w:szCs w:val="24"/>
          <w:highlight w:val="none"/>
        </w:rPr>
        <w:t>文件</w:t>
      </w:r>
      <w:r>
        <w:rPr>
          <w:rFonts w:hint="eastAsia" w:ascii="宋体" w:hAnsi="宋体"/>
          <w:color w:val="auto"/>
          <w:szCs w:val="24"/>
          <w:highlight w:val="none"/>
        </w:rPr>
        <w:t>第五章“响应文件格式”的有关</w:t>
      </w:r>
      <w:r>
        <w:rPr>
          <w:rFonts w:ascii="宋体" w:hAnsi="宋体"/>
          <w:color w:val="auto"/>
          <w:szCs w:val="24"/>
          <w:highlight w:val="none"/>
        </w:rPr>
        <w:t>要求。若</w:t>
      </w:r>
      <w:r>
        <w:rPr>
          <w:rFonts w:hint="eastAsia" w:ascii="宋体" w:hAnsi="宋体"/>
          <w:color w:val="auto"/>
          <w:szCs w:val="24"/>
          <w:highlight w:val="none"/>
        </w:rPr>
        <w:t>响应人</w:t>
      </w:r>
      <w:r>
        <w:rPr>
          <w:rFonts w:ascii="宋体" w:hAnsi="宋体"/>
          <w:color w:val="auto"/>
          <w:szCs w:val="24"/>
          <w:highlight w:val="none"/>
        </w:rPr>
        <w:t>不能满足</w:t>
      </w:r>
      <w:r>
        <w:rPr>
          <w:rFonts w:hint="eastAsia" w:ascii="宋体" w:hAnsi="宋体"/>
          <w:color w:val="auto"/>
          <w:szCs w:val="24"/>
          <w:highlight w:val="none"/>
        </w:rPr>
        <w:t>资</w:t>
      </w:r>
      <w:r>
        <w:rPr>
          <w:rFonts w:ascii="宋体" w:hAnsi="宋体"/>
          <w:color w:val="auto"/>
          <w:szCs w:val="24"/>
          <w:highlight w:val="none"/>
        </w:rPr>
        <w:t>格</w:t>
      </w:r>
      <w:r>
        <w:rPr>
          <w:rFonts w:hint="eastAsia" w:ascii="宋体" w:hAnsi="宋体"/>
          <w:color w:val="auto"/>
          <w:szCs w:val="24"/>
          <w:highlight w:val="none"/>
        </w:rPr>
        <w:t>条件的</w:t>
      </w:r>
      <w:r>
        <w:rPr>
          <w:rFonts w:ascii="宋体" w:hAnsi="宋体"/>
          <w:color w:val="auto"/>
          <w:szCs w:val="24"/>
          <w:highlight w:val="none"/>
        </w:rPr>
        <w:t>要求，</w:t>
      </w:r>
      <w:r>
        <w:rPr>
          <w:rFonts w:hint="eastAsia" w:ascii="宋体" w:hAnsi="宋体"/>
          <w:color w:val="auto"/>
          <w:szCs w:val="24"/>
          <w:highlight w:val="none"/>
        </w:rPr>
        <w:t>其响应文件将被拒绝</w:t>
      </w:r>
      <w:r>
        <w:rPr>
          <w:rFonts w:ascii="宋体" w:hAnsi="宋体"/>
          <w:color w:val="auto"/>
          <w:szCs w:val="24"/>
          <w:highlight w:val="none"/>
        </w:rPr>
        <w:t>。</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1.2.2</w:t>
      </w: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不允许转包或分包，</w:t>
      </w:r>
      <w:r>
        <w:rPr>
          <w:rFonts w:hint="eastAsia" w:ascii="宋体" w:hAnsi="宋体"/>
          <w:color w:val="auto"/>
          <w:szCs w:val="24"/>
          <w:highlight w:val="none"/>
        </w:rPr>
        <w:t>但成交承包商可以向他人采购用于工程的设备。</w:t>
      </w:r>
      <w:r>
        <w:rPr>
          <w:rFonts w:ascii="宋体" w:hAnsi="宋体"/>
          <w:color w:val="auto"/>
          <w:szCs w:val="24"/>
          <w:highlight w:val="none"/>
        </w:rPr>
        <w:t>如</w:t>
      </w:r>
      <w:r>
        <w:rPr>
          <w:rFonts w:hint="eastAsia" w:ascii="宋体" w:hAnsi="宋体"/>
          <w:color w:val="auto"/>
          <w:szCs w:val="24"/>
          <w:highlight w:val="none"/>
        </w:rPr>
        <w:t>采购人</w:t>
      </w:r>
      <w:r>
        <w:rPr>
          <w:rFonts w:ascii="宋体" w:hAnsi="宋体"/>
          <w:color w:val="auto"/>
          <w:szCs w:val="24"/>
          <w:highlight w:val="none"/>
        </w:rPr>
        <w:t>发现</w:t>
      </w:r>
      <w:r>
        <w:rPr>
          <w:rFonts w:hint="eastAsia" w:ascii="宋体" w:hAnsi="宋体"/>
          <w:color w:val="auto"/>
          <w:szCs w:val="24"/>
          <w:highlight w:val="none"/>
        </w:rPr>
        <w:t>成交承包商</w:t>
      </w:r>
      <w:r>
        <w:rPr>
          <w:rFonts w:ascii="宋体" w:hAnsi="宋体"/>
          <w:color w:val="auto"/>
          <w:szCs w:val="24"/>
          <w:highlight w:val="none"/>
        </w:rPr>
        <w:t>将</w:t>
      </w:r>
      <w:r>
        <w:rPr>
          <w:rFonts w:hint="eastAsia" w:ascii="宋体" w:hAnsi="宋体"/>
          <w:color w:val="auto"/>
          <w:szCs w:val="24"/>
          <w:highlight w:val="none"/>
        </w:rPr>
        <w:t>工程</w:t>
      </w:r>
      <w:r>
        <w:rPr>
          <w:rFonts w:ascii="宋体" w:hAnsi="宋体"/>
          <w:color w:val="auto"/>
          <w:szCs w:val="24"/>
          <w:highlight w:val="none"/>
        </w:rPr>
        <w:t>全部或部分转让或分包给其它单位或个人，</w:t>
      </w:r>
      <w:r>
        <w:rPr>
          <w:rFonts w:hint="eastAsia" w:ascii="宋体" w:hAnsi="宋体"/>
          <w:color w:val="auto"/>
          <w:szCs w:val="24"/>
          <w:highlight w:val="none"/>
        </w:rPr>
        <w:t>采购人</w:t>
      </w:r>
      <w:r>
        <w:rPr>
          <w:rFonts w:ascii="宋体" w:hAnsi="宋体"/>
          <w:color w:val="auto"/>
          <w:szCs w:val="24"/>
          <w:highlight w:val="none"/>
        </w:rPr>
        <w:t>有权拒绝。</w:t>
      </w:r>
    </w:p>
    <w:p>
      <w:pPr>
        <w:pStyle w:val="5"/>
        <w:spacing w:before="120" w:after="120" w:line="360" w:lineRule="auto"/>
        <w:jc w:val="left"/>
        <w:rPr>
          <w:rFonts w:ascii="宋体" w:hAnsi="宋体"/>
          <w:color w:val="auto"/>
          <w:sz w:val="24"/>
          <w:szCs w:val="24"/>
          <w:highlight w:val="none"/>
        </w:rPr>
      </w:pPr>
      <w:bookmarkStart w:id="29" w:name="_Toc8351"/>
      <w:r>
        <w:rPr>
          <w:rFonts w:hint="eastAsia" w:ascii="宋体" w:hAnsi="宋体"/>
          <w:color w:val="auto"/>
          <w:sz w:val="24"/>
          <w:szCs w:val="24"/>
          <w:highlight w:val="none"/>
        </w:rPr>
        <w:t>1.3现场踏勘</w:t>
      </w:r>
      <w:bookmarkEnd w:id="2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lang w:eastAsia="zh-CN"/>
        </w:rPr>
        <w:t>上固服务区</w:t>
      </w:r>
      <w:r>
        <w:rPr>
          <w:rFonts w:hint="eastAsia" w:ascii="宋体" w:hAnsi="宋体"/>
          <w:color w:val="auto"/>
          <w:szCs w:val="24"/>
          <w:highlight w:val="none"/>
        </w:rPr>
        <w:t>新建的光伏电站位置初步确定在</w:t>
      </w:r>
      <w:r>
        <w:rPr>
          <w:rFonts w:hint="eastAsia" w:ascii="宋体" w:hAnsi="宋体"/>
          <w:color w:val="auto"/>
          <w:szCs w:val="24"/>
          <w:highlight w:val="none"/>
          <w:lang w:eastAsia="zh-CN"/>
        </w:rPr>
        <w:t>服务区</w:t>
      </w:r>
      <w:r>
        <w:rPr>
          <w:rFonts w:hint="eastAsia" w:ascii="宋体" w:hAnsi="宋体"/>
          <w:color w:val="auto"/>
          <w:szCs w:val="24"/>
          <w:highlight w:val="none"/>
        </w:rPr>
        <w:t>内</w:t>
      </w:r>
      <w:r>
        <w:rPr>
          <w:rFonts w:hint="eastAsia" w:ascii="宋体" w:hAnsi="宋体"/>
          <w:color w:val="auto"/>
          <w:szCs w:val="24"/>
          <w:highlight w:val="none"/>
          <w:lang w:eastAsia="zh-CN"/>
        </w:rPr>
        <w:t>停车位上</w:t>
      </w:r>
      <w:r>
        <w:rPr>
          <w:rFonts w:hint="eastAsia" w:ascii="宋体" w:hAnsi="宋体"/>
          <w:color w:val="auto"/>
          <w:szCs w:val="24"/>
          <w:highlight w:val="none"/>
        </w:rPr>
        <w:t>，</w:t>
      </w:r>
      <w:r>
        <w:rPr>
          <w:rFonts w:hint="eastAsia" w:ascii="宋体" w:hAnsi="宋体"/>
          <w:color w:val="auto"/>
          <w:szCs w:val="24"/>
          <w:highlight w:val="none"/>
          <w:lang w:val="en-US" w:eastAsia="zh-CN"/>
        </w:rPr>
        <w:t xml:space="preserve"> 总共10个车架，5.4米双车距可以做16个车位；食堂门口做6个车位，主楼门口车位做10个车位，共计安装174块260W组件，3串22块一组，6串18块一组，总装机容量45240W</w:t>
      </w:r>
      <w:r>
        <w:rPr>
          <w:rFonts w:hint="eastAsia" w:ascii="宋体" w:hAnsi="宋体"/>
          <w:color w:val="auto"/>
          <w:szCs w:val="24"/>
          <w:highlight w:val="none"/>
        </w:rPr>
        <w:t>，如下图所示：</w:t>
      </w:r>
    </w:p>
    <w:p>
      <w:pPr>
        <w:pStyle w:val="2"/>
        <w:jc w:val="center"/>
        <w:rPr>
          <w:rFonts w:hAnsi="宋体"/>
          <w:color w:val="auto"/>
          <w:sz w:val="21"/>
          <w:highlight w:val="none"/>
          <w:shd w:val="clear" w:color="auto" w:fill="FFFFFF"/>
        </w:rPr>
      </w:pPr>
    </w:p>
    <w:p>
      <w:pPr>
        <w:pStyle w:val="2"/>
        <w:jc w:val="center"/>
        <w:rPr>
          <w:rFonts w:hint="eastAsia" w:eastAsia="宋体"/>
          <w:color w:val="auto"/>
          <w:sz w:val="28"/>
          <w:szCs w:val="24"/>
          <w:highlight w:val="none"/>
          <w:shd w:val="clear" w:color="auto" w:fill="FFFFFF"/>
          <w:lang w:eastAsia="zh-CN"/>
        </w:rPr>
      </w:pPr>
      <w:r>
        <w:rPr>
          <w:rFonts w:hint="eastAsia" w:eastAsia="宋体"/>
          <w:color w:val="auto"/>
          <w:sz w:val="28"/>
          <w:szCs w:val="24"/>
          <w:highlight w:val="none"/>
          <w:shd w:val="clear" w:color="auto" w:fill="FFFFFF"/>
          <w:lang w:eastAsia="zh-CN"/>
        </w:rPr>
        <w:drawing>
          <wp:inline distT="0" distB="0" distL="114300" distR="114300">
            <wp:extent cx="5420360" cy="3049270"/>
            <wp:effectExtent l="0" t="0" r="8890" b="17780"/>
            <wp:docPr id="1" name="图片 1" descr="9a349e2db1058e13cf33e19efac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a349e2db1058e13cf33e19efac1303"/>
                    <pic:cNvPicPr>
                      <a:picLocks noChangeAspect="1"/>
                    </pic:cNvPicPr>
                  </pic:nvPicPr>
                  <pic:blipFill>
                    <a:blip r:embed="rId7"/>
                    <a:stretch>
                      <a:fillRect/>
                    </a:stretch>
                  </pic:blipFill>
                  <pic:spPr>
                    <a:xfrm>
                      <a:off x="0" y="0"/>
                      <a:ext cx="5420360" cy="3049270"/>
                    </a:xfrm>
                    <a:prstGeom prst="rect">
                      <a:avLst/>
                    </a:prstGeom>
                  </pic:spPr>
                </pic:pic>
              </a:graphicData>
            </a:graphic>
          </wp:inline>
        </w:drawing>
      </w:r>
    </w:p>
    <w:p>
      <w:pPr>
        <w:ind w:firstLine="420" w:firstLineChars="200"/>
        <w:jc w:val="center"/>
        <w:rPr>
          <w:rFonts w:hAnsi="宋体"/>
          <w:color w:val="auto"/>
          <w:sz w:val="21"/>
          <w:szCs w:val="20"/>
          <w:highlight w:val="none"/>
          <w:shd w:val="clear" w:color="auto" w:fill="FFFFFF"/>
        </w:rPr>
      </w:pPr>
      <w:r>
        <w:rPr>
          <w:rFonts w:hint="eastAsia" w:hAnsi="宋体"/>
          <w:color w:val="auto"/>
          <w:sz w:val="21"/>
          <w:szCs w:val="20"/>
          <w:highlight w:val="none"/>
          <w:shd w:val="clear" w:color="auto" w:fill="FFFFFF"/>
          <w:lang w:eastAsia="zh-CN"/>
        </w:rPr>
        <w:t>上固服务区</w:t>
      </w:r>
      <w:r>
        <w:rPr>
          <w:rFonts w:hint="eastAsia" w:hAnsi="宋体"/>
          <w:color w:val="auto"/>
          <w:sz w:val="21"/>
          <w:szCs w:val="20"/>
          <w:highlight w:val="none"/>
          <w:shd w:val="clear" w:color="auto" w:fill="FFFFFF"/>
        </w:rPr>
        <w:t>新建地面</w:t>
      </w:r>
      <w:r>
        <w:rPr>
          <w:rFonts w:hint="eastAsia" w:hAnsi="宋体"/>
          <w:color w:val="auto"/>
          <w:sz w:val="21"/>
          <w:szCs w:val="20"/>
          <w:highlight w:val="none"/>
          <w:shd w:val="clear" w:color="auto" w:fill="FFFFFF"/>
          <w:lang w:eastAsia="zh-CN"/>
        </w:rPr>
        <w:t>（车棚）</w:t>
      </w:r>
      <w:r>
        <w:rPr>
          <w:rFonts w:hAnsi="宋体"/>
          <w:color w:val="auto"/>
          <w:sz w:val="21"/>
          <w:szCs w:val="20"/>
          <w:highlight w:val="none"/>
          <w:shd w:val="clear" w:color="auto" w:fill="FFFFFF"/>
        </w:rPr>
        <w:t>光伏</w:t>
      </w:r>
      <w:r>
        <w:rPr>
          <w:rFonts w:hint="eastAsia" w:hAnsi="宋体"/>
          <w:color w:val="auto"/>
          <w:sz w:val="21"/>
          <w:szCs w:val="20"/>
          <w:highlight w:val="none"/>
          <w:shd w:val="clear" w:color="auto" w:fill="FFFFFF"/>
        </w:rPr>
        <w:t>位置</w:t>
      </w:r>
    </w:p>
    <w:p>
      <w:pPr>
        <w:pStyle w:val="2"/>
        <w:jc w:val="center"/>
        <w:rPr>
          <w:color w:val="auto"/>
          <w:sz w:val="28"/>
          <w:szCs w:val="24"/>
          <w:highlight w:val="none"/>
          <w:shd w:val="clear" w:color="auto" w:fill="FFFFFF"/>
        </w:rPr>
      </w:pP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本次采购工程不统一组织现场踏勘，请承包商自行前往现场踏勘。若需自行前往踏勘的，请联系采购人。</w:t>
      </w:r>
    </w:p>
    <w:p>
      <w:pPr>
        <w:spacing w:line="480" w:lineRule="exact"/>
        <w:ind w:firstLine="480" w:firstLineChars="200"/>
        <w:rPr>
          <w:rFonts w:hint="default" w:ascii="宋体" w:hAnsi="宋体" w:eastAsia="宋体"/>
          <w:color w:val="auto"/>
          <w:szCs w:val="24"/>
          <w:highlight w:val="none"/>
          <w:lang w:val="en-US" w:eastAsia="zh-CN"/>
        </w:rPr>
      </w:pPr>
      <w:r>
        <w:rPr>
          <w:rFonts w:hint="eastAsia" w:ascii="宋体" w:hAnsi="宋体"/>
          <w:color w:val="auto"/>
          <w:szCs w:val="24"/>
          <w:highlight w:val="none"/>
        </w:rPr>
        <w:t>联系人：</w:t>
      </w:r>
      <w:r>
        <w:rPr>
          <w:rFonts w:hint="eastAsia" w:ascii="宋体" w:hAnsi="宋体"/>
          <w:color w:val="auto"/>
          <w:szCs w:val="24"/>
          <w:highlight w:val="none"/>
          <w:lang w:eastAsia="zh-CN"/>
        </w:rPr>
        <w:t>徐</w:t>
      </w:r>
      <w:r>
        <w:rPr>
          <w:rFonts w:hint="eastAsia" w:ascii="宋体" w:hAnsi="宋体"/>
          <w:color w:val="auto"/>
          <w:szCs w:val="24"/>
          <w:highlight w:val="none"/>
        </w:rPr>
        <w:t>先生    联系电话：1</w:t>
      </w:r>
      <w:r>
        <w:rPr>
          <w:rFonts w:hint="eastAsia" w:ascii="宋体" w:hAnsi="宋体"/>
          <w:color w:val="auto"/>
          <w:szCs w:val="24"/>
          <w:highlight w:val="none"/>
          <w:lang w:val="en-US" w:eastAsia="zh-CN"/>
        </w:rPr>
        <w:t>5170346421</w:t>
      </w:r>
    </w:p>
    <w:p>
      <w:pPr>
        <w:pStyle w:val="4"/>
        <w:spacing w:before="240" w:after="120" w:line="360" w:lineRule="auto"/>
        <w:jc w:val="both"/>
        <w:rPr>
          <w:rFonts w:ascii="宋体" w:hAnsi="宋体"/>
          <w:color w:val="auto"/>
          <w:sz w:val="28"/>
          <w:szCs w:val="28"/>
          <w:highlight w:val="none"/>
        </w:rPr>
      </w:pPr>
      <w:bookmarkStart w:id="30" w:name="_Toc12439"/>
      <w:r>
        <w:rPr>
          <w:rFonts w:hint="eastAsia" w:ascii="宋体" w:hAnsi="宋体"/>
          <w:color w:val="auto"/>
          <w:sz w:val="28"/>
          <w:szCs w:val="28"/>
          <w:highlight w:val="none"/>
        </w:rPr>
        <w:t>2采购文件</w:t>
      </w:r>
      <w:bookmarkEnd w:id="30"/>
    </w:p>
    <w:p>
      <w:pPr>
        <w:pStyle w:val="5"/>
        <w:spacing w:before="120" w:after="120" w:line="360" w:lineRule="auto"/>
        <w:jc w:val="left"/>
        <w:rPr>
          <w:rFonts w:ascii="宋体" w:hAnsi="宋体"/>
          <w:color w:val="auto"/>
          <w:sz w:val="24"/>
          <w:szCs w:val="24"/>
          <w:highlight w:val="none"/>
        </w:rPr>
      </w:pPr>
      <w:bookmarkStart w:id="31" w:name="_Toc12265"/>
      <w:r>
        <w:rPr>
          <w:rFonts w:hint="eastAsia" w:ascii="宋体" w:hAnsi="宋体"/>
          <w:color w:val="auto"/>
          <w:sz w:val="24"/>
          <w:szCs w:val="24"/>
          <w:highlight w:val="none"/>
        </w:rPr>
        <w:t>2.1采购文件的组成</w:t>
      </w:r>
      <w:bookmarkEnd w:id="31"/>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2.1.1 采购文件由下列文件及在采购过程中发出的澄清或者修改文件组成：</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第一章 采购公告</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第二章 采购须知</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第三章 合同条款及格式</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第四章 技术标准和要求</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第五章 响应文件格式</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2.1.2响应人应仔细阅读采购文件的全部内容，按照采购文件要求编制响应文件。任何对采购文件的忽略或误解不能作为响应文件存在缺陷或瑕疵的理由，其风险由承包商承担。</w:t>
      </w:r>
    </w:p>
    <w:p>
      <w:pPr>
        <w:pStyle w:val="5"/>
        <w:spacing w:before="120" w:after="120" w:line="360" w:lineRule="auto"/>
        <w:jc w:val="left"/>
        <w:rPr>
          <w:rFonts w:ascii="宋体" w:hAnsi="宋体"/>
          <w:color w:val="auto"/>
          <w:sz w:val="24"/>
          <w:szCs w:val="24"/>
          <w:highlight w:val="none"/>
        </w:rPr>
      </w:pPr>
      <w:bookmarkStart w:id="32" w:name="_Toc9841"/>
      <w:r>
        <w:rPr>
          <w:rFonts w:hint="eastAsia" w:ascii="宋体" w:hAnsi="宋体"/>
          <w:color w:val="auto"/>
          <w:sz w:val="24"/>
          <w:szCs w:val="24"/>
          <w:highlight w:val="none"/>
        </w:rPr>
        <w:t>2.2采购文件的澄清或修改</w:t>
      </w:r>
      <w:bookmarkEnd w:id="3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2.2.1响应人对采购文件有疑问的，请在采购须知前附表规定的时间前以书面形式要求采购人对采购文件予以澄清。</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2.2.2采购人对采购文件有修改或澄清的，将在采购须知前附表规定的时间前以书面方式通知所有获得采购文件的响应人，修改或澄清作为采购文件的组成部分。</w:t>
      </w:r>
    </w:p>
    <w:p>
      <w:pPr>
        <w:pStyle w:val="4"/>
        <w:spacing w:before="240" w:after="120" w:line="360" w:lineRule="auto"/>
        <w:jc w:val="both"/>
        <w:rPr>
          <w:rFonts w:ascii="宋体" w:hAnsi="宋体"/>
          <w:color w:val="auto"/>
          <w:sz w:val="28"/>
          <w:szCs w:val="28"/>
          <w:highlight w:val="none"/>
        </w:rPr>
      </w:pPr>
      <w:bookmarkStart w:id="33" w:name="_Toc7882"/>
      <w:r>
        <w:rPr>
          <w:rFonts w:hint="eastAsia" w:ascii="宋体" w:hAnsi="宋体"/>
          <w:color w:val="auto"/>
          <w:sz w:val="28"/>
          <w:szCs w:val="28"/>
          <w:highlight w:val="none"/>
        </w:rPr>
        <w:t>3响应文件</w:t>
      </w:r>
      <w:bookmarkEnd w:id="33"/>
    </w:p>
    <w:p>
      <w:pPr>
        <w:pStyle w:val="5"/>
        <w:spacing w:before="120" w:after="120" w:line="360" w:lineRule="auto"/>
        <w:jc w:val="left"/>
        <w:rPr>
          <w:rFonts w:ascii="宋体" w:hAnsi="宋体"/>
          <w:color w:val="auto"/>
          <w:sz w:val="24"/>
          <w:szCs w:val="24"/>
          <w:highlight w:val="none"/>
        </w:rPr>
      </w:pPr>
      <w:bookmarkStart w:id="34" w:name="_Toc13724"/>
      <w:r>
        <w:rPr>
          <w:rFonts w:hint="eastAsia" w:ascii="宋体" w:hAnsi="宋体"/>
          <w:color w:val="auto"/>
          <w:sz w:val="24"/>
          <w:szCs w:val="24"/>
          <w:highlight w:val="none"/>
        </w:rPr>
        <w:t>3.1响应文件的组成</w:t>
      </w:r>
      <w:bookmarkEnd w:id="34"/>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响应文件应包括下列各项内容：</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w:instrText>
      </w:r>
      <w:r>
        <w:rPr>
          <w:rFonts w:hint="eastAsia" w:ascii="宋体" w:hAnsi="宋体"/>
          <w:color w:val="auto"/>
          <w:szCs w:val="24"/>
          <w:highlight w:val="none"/>
        </w:rPr>
        <w:instrText xml:space="preserve">= 1 \* GB3</w:instrText>
      </w:r>
      <w:r>
        <w:rPr>
          <w:rFonts w:ascii="宋体" w:hAnsi="宋体"/>
          <w:color w:val="auto"/>
          <w:szCs w:val="24"/>
          <w:highlight w:val="none"/>
        </w:rPr>
        <w:instrText xml:space="preserve"> </w:instrText>
      </w:r>
      <w:r>
        <w:rPr>
          <w:rFonts w:ascii="宋体" w:hAnsi="宋体"/>
          <w:color w:val="auto"/>
          <w:szCs w:val="24"/>
          <w:highlight w:val="none"/>
        </w:rPr>
        <w:fldChar w:fldCharType="separate"/>
      </w:r>
      <w:r>
        <w:rPr>
          <w:rFonts w:hint="eastAsia" w:ascii="宋体" w:hAnsi="宋体"/>
          <w:color w:val="auto"/>
          <w:szCs w:val="24"/>
          <w:highlight w:val="none"/>
        </w:rPr>
        <w:t>①</w:t>
      </w:r>
      <w:r>
        <w:rPr>
          <w:rFonts w:ascii="宋体" w:hAnsi="宋体"/>
          <w:color w:val="auto"/>
          <w:szCs w:val="24"/>
          <w:highlight w:val="none"/>
        </w:rPr>
        <w:fldChar w:fldCharType="end"/>
      </w:r>
      <w:r>
        <w:rPr>
          <w:rFonts w:hint="eastAsia" w:ascii="宋体" w:hAnsi="宋体"/>
          <w:color w:val="auto"/>
          <w:szCs w:val="24"/>
          <w:highlight w:val="none"/>
        </w:rPr>
        <w:t>响应函</w:t>
      </w:r>
      <w:r>
        <w:rPr>
          <w:rFonts w:ascii="宋体" w:hAnsi="宋体"/>
          <w:color w:val="auto"/>
          <w:szCs w:val="24"/>
          <w:highlight w:val="none"/>
        </w:rPr>
        <w:t>；</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w:instrText>
      </w:r>
      <w:r>
        <w:rPr>
          <w:rFonts w:hint="eastAsia" w:ascii="宋体" w:hAnsi="宋体"/>
          <w:color w:val="auto"/>
          <w:szCs w:val="24"/>
          <w:highlight w:val="none"/>
        </w:rPr>
        <w:instrText xml:space="preserve">= 2 \* GB3</w:instrText>
      </w:r>
      <w:r>
        <w:rPr>
          <w:rFonts w:ascii="宋体" w:hAnsi="宋体"/>
          <w:color w:val="auto"/>
          <w:szCs w:val="24"/>
          <w:highlight w:val="none"/>
        </w:rPr>
        <w:instrText xml:space="preserve"> </w:instrText>
      </w:r>
      <w:r>
        <w:rPr>
          <w:rFonts w:ascii="宋体" w:hAnsi="宋体"/>
          <w:color w:val="auto"/>
          <w:szCs w:val="24"/>
          <w:highlight w:val="none"/>
        </w:rPr>
        <w:fldChar w:fldCharType="separate"/>
      </w:r>
      <w:r>
        <w:rPr>
          <w:rFonts w:hint="eastAsia" w:ascii="宋体" w:hAnsi="宋体"/>
          <w:color w:val="auto"/>
          <w:szCs w:val="24"/>
          <w:highlight w:val="none"/>
        </w:rPr>
        <w:t>②</w:t>
      </w:r>
      <w:r>
        <w:rPr>
          <w:rFonts w:ascii="宋体" w:hAnsi="宋体"/>
          <w:color w:val="auto"/>
          <w:szCs w:val="24"/>
          <w:highlight w:val="none"/>
        </w:rPr>
        <w:fldChar w:fldCharType="end"/>
      </w:r>
      <w:r>
        <w:rPr>
          <w:rFonts w:hint="eastAsia" w:ascii="宋体" w:hAnsi="宋体"/>
          <w:color w:val="auto"/>
          <w:szCs w:val="24"/>
          <w:highlight w:val="none"/>
        </w:rPr>
        <w:t>法定代表人身份证明或法定代表人的授权委托</w:t>
      </w:r>
      <w:r>
        <w:rPr>
          <w:rFonts w:ascii="宋体" w:hAnsi="宋体"/>
          <w:color w:val="auto"/>
          <w:szCs w:val="24"/>
          <w:highlight w:val="none"/>
        </w:rPr>
        <w:t>书</w:t>
      </w:r>
      <w:r>
        <w:rPr>
          <w:rFonts w:hint="eastAsia" w:ascii="宋体" w:hAnsi="宋体"/>
          <w:color w:val="auto"/>
          <w:szCs w:val="24"/>
          <w:highlight w:val="none"/>
        </w:rPr>
        <w:t>；</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w:instrText>
      </w:r>
      <w:r>
        <w:rPr>
          <w:rFonts w:hint="eastAsia" w:ascii="宋体" w:hAnsi="宋体"/>
          <w:color w:val="auto"/>
          <w:szCs w:val="24"/>
          <w:highlight w:val="none"/>
        </w:rPr>
        <w:instrText xml:space="preserve">= 3 \* GB3</w:instrText>
      </w:r>
      <w:r>
        <w:rPr>
          <w:rFonts w:ascii="宋体" w:hAnsi="宋体"/>
          <w:color w:val="auto"/>
          <w:szCs w:val="24"/>
          <w:highlight w:val="none"/>
        </w:rPr>
        <w:instrText xml:space="preserve"> </w:instrText>
      </w:r>
      <w:r>
        <w:rPr>
          <w:rFonts w:ascii="宋体" w:hAnsi="宋体"/>
          <w:color w:val="auto"/>
          <w:szCs w:val="24"/>
          <w:highlight w:val="none"/>
        </w:rPr>
        <w:fldChar w:fldCharType="separate"/>
      </w:r>
      <w:r>
        <w:rPr>
          <w:rFonts w:hint="eastAsia" w:ascii="宋体" w:hAnsi="宋体"/>
          <w:color w:val="auto"/>
          <w:szCs w:val="24"/>
          <w:highlight w:val="none"/>
        </w:rPr>
        <w:t>③</w:t>
      </w:r>
      <w:r>
        <w:rPr>
          <w:rFonts w:ascii="宋体" w:hAnsi="宋体"/>
          <w:color w:val="auto"/>
          <w:szCs w:val="24"/>
          <w:highlight w:val="none"/>
        </w:rPr>
        <w:fldChar w:fldCharType="end"/>
      </w:r>
      <w:r>
        <w:rPr>
          <w:rFonts w:ascii="宋体" w:hAnsi="宋体"/>
          <w:color w:val="auto"/>
          <w:szCs w:val="24"/>
          <w:highlight w:val="none"/>
        </w:rPr>
        <w:t>资格审查材料；</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w:instrText>
      </w:r>
      <w:r>
        <w:rPr>
          <w:rFonts w:hint="eastAsia" w:ascii="宋体" w:hAnsi="宋体"/>
          <w:color w:val="auto"/>
          <w:szCs w:val="24"/>
          <w:highlight w:val="none"/>
        </w:rPr>
        <w:instrText xml:space="preserve">= 4 \* GB3</w:instrText>
      </w:r>
      <w:r>
        <w:rPr>
          <w:rFonts w:ascii="宋体" w:hAnsi="宋体"/>
          <w:color w:val="auto"/>
          <w:szCs w:val="24"/>
          <w:highlight w:val="none"/>
        </w:rPr>
        <w:instrText xml:space="preserve"> </w:instrText>
      </w:r>
      <w:r>
        <w:rPr>
          <w:rFonts w:ascii="宋体" w:hAnsi="宋体"/>
          <w:color w:val="auto"/>
          <w:szCs w:val="24"/>
          <w:highlight w:val="none"/>
        </w:rPr>
        <w:fldChar w:fldCharType="separate"/>
      </w:r>
      <w:r>
        <w:rPr>
          <w:rFonts w:hint="eastAsia" w:ascii="宋体" w:hAnsi="宋体"/>
          <w:color w:val="auto"/>
          <w:szCs w:val="24"/>
          <w:highlight w:val="none"/>
        </w:rPr>
        <w:t>④</w:t>
      </w:r>
      <w:r>
        <w:rPr>
          <w:rFonts w:ascii="宋体" w:hAnsi="宋体"/>
          <w:color w:val="auto"/>
          <w:szCs w:val="24"/>
          <w:highlight w:val="none"/>
        </w:rPr>
        <w:fldChar w:fldCharType="end"/>
      </w:r>
      <w:r>
        <w:rPr>
          <w:rFonts w:hint="eastAsia" w:ascii="宋体" w:hAnsi="宋体"/>
          <w:color w:val="auto"/>
          <w:szCs w:val="24"/>
          <w:highlight w:val="none"/>
        </w:rPr>
        <w:t>项目管理机构；</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w:instrText>
      </w:r>
      <w:r>
        <w:rPr>
          <w:rFonts w:hint="eastAsia" w:ascii="宋体" w:hAnsi="宋体"/>
          <w:color w:val="auto"/>
          <w:szCs w:val="24"/>
          <w:highlight w:val="none"/>
        </w:rPr>
        <w:instrText xml:space="preserve">= 5 \* GB3</w:instrText>
      </w:r>
      <w:r>
        <w:rPr>
          <w:rFonts w:ascii="宋体" w:hAnsi="宋体"/>
          <w:color w:val="auto"/>
          <w:szCs w:val="24"/>
          <w:highlight w:val="none"/>
        </w:rPr>
        <w:instrText xml:space="preserve"> </w:instrText>
      </w:r>
      <w:r>
        <w:rPr>
          <w:rFonts w:ascii="宋体" w:hAnsi="宋体"/>
          <w:color w:val="auto"/>
          <w:szCs w:val="24"/>
          <w:highlight w:val="none"/>
        </w:rPr>
        <w:fldChar w:fldCharType="separate"/>
      </w:r>
      <w:r>
        <w:rPr>
          <w:rFonts w:hint="eastAsia" w:ascii="宋体" w:hAnsi="宋体"/>
          <w:color w:val="auto"/>
          <w:szCs w:val="24"/>
          <w:highlight w:val="none"/>
        </w:rPr>
        <w:t>⑤</w:t>
      </w:r>
      <w:r>
        <w:rPr>
          <w:rFonts w:ascii="宋体" w:hAnsi="宋体"/>
          <w:color w:val="auto"/>
          <w:szCs w:val="24"/>
          <w:highlight w:val="none"/>
        </w:rPr>
        <w:fldChar w:fldCharType="end"/>
      </w:r>
      <w:r>
        <w:rPr>
          <w:rFonts w:hint="eastAsia" w:ascii="宋体" w:hAnsi="宋体"/>
          <w:color w:val="auto"/>
          <w:szCs w:val="24"/>
          <w:highlight w:val="none"/>
        </w:rPr>
        <w:t>施工组织设计及安全措施；</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⑥报价清单。</w:t>
      </w:r>
    </w:p>
    <w:p>
      <w:pPr>
        <w:spacing w:line="480" w:lineRule="exact"/>
        <w:ind w:firstLine="480" w:firstLineChars="200"/>
        <w:rPr>
          <w:rFonts w:ascii="宋体" w:hAnsi="宋体"/>
          <w:color w:val="auto"/>
          <w:szCs w:val="24"/>
          <w:highlight w:val="none"/>
        </w:rPr>
      </w:pPr>
      <w:r>
        <w:rPr>
          <w:rFonts w:ascii="宋体" w:hAnsi="宋体"/>
          <w:color w:val="auto"/>
          <w:szCs w:val="24"/>
          <w:highlight w:val="none"/>
        </w:rPr>
        <w:t>以上内容都必须使用</w:t>
      </w:r>
      <w:r>
        <w:rPr>
          <w:rFonts w:hint="eastAsia" w:ascii="宋体" w:hAnsi="宋体"/>
          <w:color w:val="auto"/>
          <w:szCs w:val="24"/>
          <w:highlight w:val="none"/>
        </w:rPr>
        <w:t>采购</w:t>
      </w:r>
      <w:r>
        <w:rPr>
          <w:rFonts w:ascii="宋体" w:hAnsi="宋体"/>
          <w:color w:val="auto"/>
          <w:szCs w:val="24"/>
          <w:highlight w:val="none"/>
        </w:rPr>
        <w:t>文件提供的格式或大纲，除另有规定者外，</w:t>
      </w:r>
      <w:r>
        <w:rPr>
          <w:rFonts w:hint="eastAsia" w:ascii="宋体" w:hAnsi="宋体"/>
          <w:color w:val="auto"/>
          <w:szCs w:val="24"/>
          <w:highlight w:val="none"/>
        </w:rPr>
        <w:t>响应人</w:t>
      </w:r>
      <w:r>
        <w:rPr>
          <w:rFonts w:ascii="宋体" w:hAnsi="宋体"/>
          <w:color w:val="auto"/>
          <w:szCs w:val="24"/>
          <w:highlight w:val="none"/>
        </w:rPr>
        <w:t>不得修改，否则，</w:t>
      </w:r>
      <w:r>
        <w:rPr>
          <w:rFonts w:hint="eastAsia" w:ascii="宋体" w:hAnsi="宋体"/>
          <w:color w:val="auto"/>
          <w:szCs w:val="24"/>
          <w:highlight w:val="none"/>
        </w:rPr>
        <w:t>其响应文件将无效</w:t>
      </w:r>
      <w:r>
        <w:rPr>
          <w:rFonts w:ascii="宋体" w:hAnsi="宋体"/>
          <w:color w:val="auto"/>
          <w:szCs w:val="24"/>
          <w:highlight w:val="none"/>
        </w:rPr>
        <w:t>处理。</w:t>
      </w:r>
    </w:p>
    <w:p>
      <w:pPr>
        <w:pStyle w:val="5"/>
        <w:spacing w:before="120" w:after="120" w:line="360" w:lineRule="auto"/>
        <w:jc w:val="left"/>
        <w:rPr>
          <w:rFonts w:ascii="宋体" w:hAnsi="宋体"/>
          <w:color w:val="auto"/>
          <w:sz w:val="24"/>
          <w:szCs w:val="24"/>
          <w:highlight w:val="none"/>
        </w:rPr>
      </w:pPr>
      <w:bookmarkStart w:id="35" w:name="_Toc30338"/>
      <w:r>
        <w:rPr>
          <w:rFonts w:hint="eastAsia" w:ascii="宋体" w:hAnsi="宋体"/>
          <w:color w:val="auto"/>
          <w:sz w:val="24"/>
          <w:szCs w:val="24"/>
          <w:highlight w:val="none"/>
        </w:rPr>
        <w:t>3.2 报价要求</w:t>
      </w:r>
      <w:bookmarkEnd w:id="3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3.2.1 响应人</w:t>
      </w:r>
      <w:r>
        <w:rPr>
          <w:rFonts w:ascii="宋体" w:hAnsi="宋体"/>
          <w:color w:val="auto"/>
          <w:szCs w:val="24"/>
          <w:highlight w:val="none"/>
        </w:rPr>
        <w:t>应根据自身的实际</w:t>
      </w:r>
      <w:r>
        <w:rPr>
          <w:rFonts w:hint="eastAsia" w:ascii="宋体" w:hAnsi="宋体"/>
          <w:color w:val="auto"/>
          <w:szCs w:val="24"/>
          <w:highlight w:val="none"/>
        </w:rPr>
        <w:t>施工</w:t>
      </w:r>
      <w:r>
        <w:rPr>
          <w:rFonts w:ascii="宋体" w:hAnsi="宋体"/>
          <w:color w:val="auto"/>
          <w:szCs w:val="24"/>
          <w:highlight w:val="none"/>
        </w:rPr>
        <w:t>能力</w:t>
      </w:r>
      <w:r>
        <w:rPr>
          <w:rFonts w:hint="eastAsia" w:ascii="宋体" w:hAnsi="宋体"/>
          <w:color w:val="auto"/>
          <w:szCs w:val="24"/>
          <w:highlight w:val="none"/>
        </w:rPr>
        <w:t>、设备供货能力、服务能力在报价清单中按第一章1.2款预计的装机容量填报</w:t>
      </w:r>
      <w:r>
        <w:rPr>
          <w:rFonts w:ascii="宋体" w:hAnsi="宋体"/>
          <w:color w:val="auto"/>
          <w:szCs w:val="24"/>
          <w:highlight w:val="none"/>
        </w:rPr>
        <w:t>单价</w:t>
      </w:r>
      <w:r>
        <w:rPr>
          <w:rFonts w:hint="eastAsia" w:ascii="宋体" w:hAnsi="宋体"/>
          <w:color w:val="auto"/>
          <w:szCs w:val="24"/>
          <w:highlight w:val="none"/>
        </w:rPr>
        <w:t>和总价。</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3.2.2 响应人</w:t>
      </w:r>
      <w:r>
        <w:rPr>
          <w:rFonts w:ascii="宋体" w:hAnsi="宋体"/>
          <w:color w:val="auto"/>
          <w:szCs w:val="24"/>
          <w:highlight w:val="none"/>
        </w:rPr>
        <w:t>在报价</w:t>
      </w:r>
      <w:r>
        <w:rPr>
          <w:rFonts w:hint="eastAsia" w:ascii="宋体" w:hAnsi="宋体"/>
          <w:color w:val="auto"/>
          <w:szCs w:val="24"/>
          <w:highlight w:val="none"/>
        </w:rPr>
        <w:t>清单</w:t>
      </w:r>
      <w:r>
        <w:rPr>
          <w:rFonts w:ascii="宋体" w:hAnsi="宋体"/>
          <w:color w:val="auto"/>
          <w:szCs w:val="24"/>
          <w:highlight w:val="none"/>
        </w:rPr>
        <w:t>中填写的单价应是</w:t>
      </w:r>
      <w:r>
        <w:rPr>
          <w:rFonts w:hint="eastAsia" w:ascii="宋体" w:hAnsi="宋体"/>
          <w:color w:val="auto"/>
          <w:szCs w:val="24"/>
          <w:highlight w:val="none"/>
        </w:rPr>
        <w:t>按合同约定完成本工程建设，质量合格，达到约定的竣工验收条件</w:t>
      </w:r>
      <w:r>
        <w:rPr>
          <w:rFonts w:ascii="宋体" w:hAnsi="宋体"/>
          <w:color w:val="auto"/>
          <w:szCs w:val="24"/>
          <w:highlight w:val="none"/>
        </w:rPr>
        <w:t>的全部费用</w:t>
      </w:r>
      <w:r>
        <w:rPr>
          <w:rFonts w:hint="eastAsia" w:ascii="宋体" w:hAnsi="宋体"/>
          <w:color w:val="auto"/>
          <w:szCs w:val="24"/>
          <w:highlight w:val="none"/>
        </w:rPr>
        <w:t>，包含完成本工程承包范围内的所有工作和一切附带工作，包括但不限于方案编制、安装图设计、设备材料的采购、运输、安装、调试及其它附加服务的费用，系统的调试、发电以及各项管理费、税金、利润等。</w:t>
      </w:r>
    </w:p>
    <w:p>
      <w:p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3.2.3成交承包商</w:t>
      </w:r>
      <w:r>
        <w:rPr>
          <w:rFonts w:ascii="宋体" w:hAnsi="宋体"/>
          <w:color w:val="auto"/>
          <w:szCs w:val="24"/>
          <w:highlight w:val="none"/>
        </w:rPr>
        <w:t>应负责办理为</w:t>
      </w:r>
      <w:r>
        <w:rPr>
          <w:rFonts w:hint="eastAsia" w:ascii="宋体" w:hAnsi="宋体"/>
          <w:color w:val="auto"/>
          <w:szCs w:val="24"/>
          <w:highlight w:val="none"/>
        </w:rPr>
        <w:t>本工程</w:t>
      </w:r>
      <w:r>
        <w:rPr>
          <w:rFonts w:ascii="宋体" w:hAnsi="宋体"/>
          <w:color w:val="auto"/>
          <w:szCs w:val="24"/>
          <w:highlight w:val="none"/>
        </w:rPr>
        <w:t>而投入的机具设备</w:t>
      </w:r>
      <w:r>
        <w:rPr>
          <w:rFonts w:hint="eastAsia" w:ascii="宋体" w:hAnsi="宋体"/>
          <w:color w:val="auto"/>
          <w:szCs w:val="24"/>
          <w:highlight w:val="none"/>
        </w:rPr>
        <w:t>、</w:t>
      </w:r>
      <w:r>
        <w:rPr>
          <w:rFonts w:ascii="宋体" w:hAnsi="宋体"/>
          <w:color w:val="auto"/>
          <w:szCs w:val="24"/>
          <w:highlight w:val="none"/>
        </w:rPr>
        <w:t>运输工具的财产保险和人身保险</w:t>
      </w:r>
      <w:r>
        <w:rPr>
          <w:rFonts w:hint="eastAsia" w:ascii="宋体" w:hAnsi="宋体"/>
          <w:color w:val="auto"/>
          <w:szCs w:val="24"/>
          <w:highlight w:val="none"/>
        </w:rPr>
        <w:t>、</w:t>
      </w:r>
      <w:r>
        <w:rPr>
          <w:rFonts w:ascii="宋体" w:hAnsi="宋体"/>
          <w:color w:val="auto"/>
          <w:szCs w:val="24"/>
          <w:highlight w:val="none"/>
        </w:rPr>
        <w:t>货物运输险</w:t>
      </w:r>
      <w:r>
        <w:rPr>
          <w:rFonts w:hint="eastAsia" w:ascii="宋体" w:hAnsi="宋体"/>
          <w:color w:val="auto"/>
          <w:szCs w:val="24"/>
          <w:highlight w:val="none"/>
        </w:rPr>
        <w:t>、</w:t>
      </w:r>
      <w:r>
        <w:rPr>
          <w:rFonts w:ascii="宋体" w:hAnsi="宋体"/>
          <w:color w:val="auto"/>
          <w:szCs w:val="24"/>
          <w:highlight w:val="none"/>
        </w:rPr>
        <w:t>安装工程险及第三者责任险</w:t>
      </w:r>
      <w:r>
        <w:rPr>
          <w:rFonts w:hint="eastAsia" w:ascii="宋体" w:hAnsi="宋体"/>
          <w:color w:val="auto"/>
          <w:szCs w:val="24"/>
          <w:highlight w:val="none"/>
        </w:rPr>
        <w:t>等</w:t>
      </w:r>
      <w:r>
        <w:rPr>
          <w:rFonts w:ascii="宋体" w:hAnsi="宋体"/>
          <w:color w:val="auto"/>
          <w:szCs w:val="24"/>
          <w:highlight w:val="none"/>
        </w:rPr>
        <w:t>，保险费由</w:t>
      </w:r>
      <w:r>
        <w:rPr>
          <w:rFonts w:hint="eastAsia" w:ascii="宋体" w:hAnsi="宋体"/>
          <w:color w:val="auto"/>
          <w:szCs w:val="24"/>
          <w:highlight w:val="none"/>
        </w:rPr>
        <w:t>成交承包商</w:t>
      </w:r>
      <w:r>
        <w:rPr>
          <w:rFonts w:ascii="宋体" w:hAnsi="宋体"/>
          <w:color w:val="auto"/>
          <w:szCs w:val="24"/>
          <w:highlight w:val="none"/>
        </w:rPr>
        <w:t>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3.2.4 本次采购是</w:t>
      </w:r>
      <w:r>
        <w:rPr>
          <w:rFonts w:hint="eastAsia" w:ascii="宋体" w:hAnsi="宋体"/>
          <w:color w:val="auto"/>
          <w:szCs w:val="24"/>
          <w:highlight w:val="none"/>
          <w:lang w:eastAsia="zh-CN"/>
        </w:rPr>
        <w:t>固定单价</w:t>
      </w:r>
      <w:r>
        <w:rPr>
          <w:rFonts w:hint="eastAsia" w:ascii="宋体" w:hAnsi="宋体"/>
          <w:color w:val="auto"/>
          <w:szCs w:val="24"/>
          <w:highlight w:val="none"/>
        </w:rPr>
        <w:t>采购，</w:t>
      </w:r>
      <w:r>
        <w:rPr>
          <w:rFonts w:ascii="宋体" w:hAnsi="宋体"/>
          <w:color w:val="auto"/>
          <w:szCs w:val="24"/>
          <w:highlight w:val="none"/>
        </w:rPr>
        <w:t>不得以</w:t>
      </w:r>
      <w:r>
        <w:rPr>
          <w:rFonts w:hint="eastAsia" w:ascii="宋体" w:hAnsi="宋体"/>
          <w:color w:val="auto"/>
          <w:szCs w:val="24"/>
          <w:highlight w:val="none"/>
        </w:rPr>
        <w:t>提供的设备市场价格波动</w:t>
      </w:r>
      <w:r>
        <w:rPr>
          <w:rFonts w:ascii="宋体" w:hAnsi="宋体"/>
          <w:color w:val="auto"/>
          <w:szCs w:val="24"/>
          <w:highlight w:val="none"/>
        </w:rPr>
        <w:t>有变化为理由对</w:t>
      </w:r>
      <w:r>
        <w:rPr>
          <w:rFonts w:hint="eastAsia" w:ascii="宋体" w:hAnsi="宋体"/>
          <w:color w:val="auto"/>
          <w:szCs w:val="24"/>
          <w:highlight w:val="none"/>
        </w:rPr>
        <w:t>所报</w:t>
      </w:r>
      <w:r>
        <w:rPr>
          <w:rFonts w:ascii="宋体" w:hAnsi="宋体"/>
          <w:color w:val="auto"/>
          <w:szCs w:val="24"/>
          <w:highlight w:val="none"/>
        </w:rPr>
        <w:t>单价进行变更。</w:t>
      </w:r>
      <w:r>
        <w:rPr>
          <w:rFonts w:hint="eastAsia" w:ascii="宋体" w:hAnsi="宋体"/>
          <w:color w:val="auto"/>
          <w:szCs w:val="24"/>
          <w:highlight w:val="none"/>
        </w:rPr>
        <w:t>响应人应按第五章“响应文件格式”要求提供清单表。</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3.2.5 最高成交限价见采购须知前附表。</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3.2.6 </w:t>
      </w:r>
      <w:r>
        <w:rPr>
          <w:rFonts w:ascii="宋体" w:hAnsi="宋体"/>
          <w:color w:val="auto"/>
          <w:szCs w:val="24"/>
          <w:highlight w:val="none"/>
        </w:rPr>
        <w:t>报价表中的各项费用均以人民币（元）结算。</w:t>
      </w:r>
    </w:p>
    <w:p>
      <w:pPr>
        <w:pStyle w:val="5"/>
        <w:spacing w:before="120" w:after="120" w:line="360" w:lineRule="auto"/>
        <w:jc w:val="left"/>
        <w:rPr>
          <w:rFonts w:ascii="宋体" w:hAnsi="宋体"/>
          <w:color w:val="auto"/>
          <w:sz w:val="24"/>
          <w:szCs w:val="24"/>
          <w:highlight w:val="none"/>
        </w:rPr>
      </w:pPr>
      <w:bookmarkStart w:id="36" w:name="_Toc415587261"/>
      <w:bookmarkStart w:id="37" w:name="_Toc21745"/>
      <w:r>
        <w:rPr>
          <w:rFonts w:hint="eastAsia" w:ascii="宋体" w:hAnsi="宋体"/>
          <w:color w:val="auto"/>
          <w:sz w:val="24"/>
          <w:szCs w:val="24"/>
          <w:highlight w:val="none"/>
        </w:rPr>
        <w:t>3.3 响应文件有效期</w:t>
      </w:r>
      <w:bookmarkEnd w:id="36"/>
      <w:bookmarkEnd w:id="3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3.3.1 响应文件有效期90日，在此期间响应文件对响应人具有法律约束力，响应文件有效期从递交响应文件截止时间起计算。响应文件有效期不足的将被视为无效响应。</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3.3.2特殊情况下，采购人可于响应文件有效期满之前要求承包商同意延长有效期，要求与答复均应为书面形式。</w:t>
      </w:r>
    </w:p>
    <w:p>
      <w:pPr>
        <w:pStyle w:val="5"/>
        <w:spacing w:before="120" w:after="120" w:line="360" w:lineRule="auto"/>
        <w:jc w:val="left"/>
        <w:rPr>
          <w:rFonts w:ascii="宋体" w:hAnsi="宋体"/>
          <w:color w:val="auto"/>
          <w:sz w:val="24"/>
          <w:szCs w:val="24"/>
          <w:highlight w:val="none"/>
        </w:rPr>
      </w:pPr>
      <w:bookmarkStart w:id="38" w:name="_Toc690"/>
      <w:r>
        <w:rPr>
          <w:rFonts w:hint="eastAsia" w:ascii="宋体" w:hAnsi="宋体"/>
          <w:color w:val="auto"/>
          <w:sz w:val="24"/>
          <w:szCs w:val="24"/>
          <w:highlight w:val="none"/>
        </w:rPr>
        <w:t>3.4 响应</w:t>
      </w:r>
      <w:r>
        <w:rPr>
          <w:rFonts w:ascii="宋体" w:hAnsi="宋体"/>
          <w:color w:val="auto"/>
          <w:sz w:val="24"/>
          <w:szCs w:val="24"/>
          <w:highlight w:val="none"/>
        </w:rPr>
        <w:t>文件的式样和签署</w:t>
      </w:r>
      <w:bookmarkEnd w:id="3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3.4.1承包商</w:t>
      </w:r>
      <w:r>
        <w:rPr>
          <w:rFonts w:ascii="宋体" w:hAnsi="宋体"/>
          <w:color w:val="auto"/>
          <w:szCs w:val="24"/>
          <w:highlight w:val="none"/>
        </w:rPr>
        <w:t>应按</w:t>
      </w:r>
      <w:r>
        <w:rPr>
          <w:rFonts w:hint="eastAsia" w:ascii="宋体" w:hAnsi="宋体"/>
          <w:color w:val="auto"/>
          <w:szCs w:val="24"/>
          <w:highlight w:val="none"/>
        </w:rPr>
        <w:t>第五章“响应文件格式”</w:t>
      </w:r>
      <w:r>
        <w:rPr>
          <w:rFonts w:ascii="宋体" w:hAnsi="宋体"/>
          <w:color w:val="auto"/>
          <w:szCs w:val="24"/>
          <w:highlight w:val="none"/>
        </w:rPr>
        <w:t>的</w:t>
      </w:r>
      <w:r>
        <w:rPr>
          <w:rFonts w:hint="eastAsia" w:ascii="宋体" w:hAnsi="宋体"/>
          <w:color w:val="auto"/>
          <w:szCs w:val="24"/>
          <w:highlight w:val="none"/>
        </w:rPr>
        <w:t>要求</w:t>
      </w:r>
      <w:r>
        <w:rPr>
          <w:rFonts w:ascii="宋体" w:hAnsi="宋体"/>
          <w:color w:val="auto"/>
          <w:szCs w:val="24"/>
          <w:highlight w:val="none"/>
        </w:rPr>
        <w:t>，</w:t>
      </w:r>
      <w:r>
        <w:rPr>
          <w:rFonts w:hint="eastAsia" w:ascii="宋体" w:hAnsi="宋体"/>
          <w:color w:val="auto"/>
          <w:szCs w:val="24"/>
          <w:highlight w:val="none"/>
        </w:rPr>
        <w:t>编制采购响应</w:t>
      </w:r>
      <w:r>
        <w:rPr>
          <w:rFonts w:ascii="宋体" w:hAnsi="宋体"/>
          <w:color w:val="auto"/>
          <w:szCs w:val="24"/>
          <w:highlight w:val="none"/>
        </w:rPr>
        <w:t>文件。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3.4.2响应</w:t>
      </w:r>
      <w:r>
        <w:rPr>
          <w:rFonts w:ascii="宋体" w:hAnsi="宋体"/>
          <w:color w:val="auto"/>
          <w:szCs w:val="24"/>
          <w:highlight w:val="none"/>
        </w:rPr>
        <w:t>文件应用不褪色的墨水书写或打印，由</w:t>
      </w:r>
      <w:r>
        <w:rPr>
          <w:rFonts w:hint="eastAsia" w:ascii="宋体" w:hAnsi="宋体"/>
          <w:color w:val="auto"/>
          <w:szCs w:val="24"/>
          <w:highlight w:val="none"/>
        </w:rPr>
        <w:t>响应人</w:t>
      </w:r>
      <w:r>
        <w:rPr>
          <w:rFonts w:ascii="宋体" w:hAnsi="宋体"/>
          <w:color w:val="auto"/>
          <w:szCs w:val="24"/>
          <w:highlight w:val="none"/>
        </w:rPr>
        <w:t>的法定代表人或其授权的代理人</w:t>
      </w:r>
      <w:r>
        <w:rPr>
          <w:rFonts w:hint="eastAsia" w:ascii="宋体" w:hAnsi="宋体"/>
          <w:color w:val="auto"/>
          <w:szCs w:val="24"/>
          <w:highlight w:val="none"/>
        </w:rPr>
        <w:t>在指定页</w:t>
      </w:r>
      <w:r>
        <w:rPr>
          <w:rFonts w:ascii="宋体" w:hAnsi="宋体"/>
          <w:color w:val="auto"/>
          <w:szCs w:val="24"/>
          <w:highlight w:val="none"/>
        </w:rPr>
        <w:t>签署</w:t>
      </w:r>
      <w:r>
        <w:rPr>
          <w:rFonts w:hint="eastAsia" w:ascii="宋体" w:hAnsi="宋体"/>
          <w:color w:val="auto"/>
          <w:szCs w:val="24"/>
          <w:highlight w:val="none"/>
        </w:rPr>
        <w:t>姓名或加盖公章，未按要求</w:t>
      </w:r>
      <w:r>
        <w:rPr>
          <w:rFonts w:ascii="宋体" w:hAnsi="宋体"/>
          <w:color w:val="auto"/>
          <w:szCs w:val="24"/>
          <w:highlight w:val="none"/>
        </w:rPr>
        <w:t>签署</w:t>
      </w:r>
      <w:r>
        <w:rPr>
          <w:rFonts w:hint="eastAsia" w:ascii="宋体" w:hAnsi="宋体"/>
          <w:color w:val="auto"/>
          <w:szCs w:val="24"/>
          <w:highlight w:val="none"/>
        </w:rPr>
        <w:t>姓名或加盖公章的</w:t>
      </w:r>
      <w:r>
        <w:rPr>
          <w:rFonts w:ascii="宋体" w:hAnsi="宋体"/>
          <w:color w:val="auto"/>
          <w:szCs w:val="24"/>
          <w:highlight w:val="none"/>
        </w:rPr>
        <w:t>，</w:t>
      </w:r>
      <w:r>
        <w:rPr>
          <w:rFonts w:hint="eastAsia" w:ascii="宋体" w:hAnsi="宋体"/>
          <w:color w:val="auto"/>
          <w:szCs w:val="24"/>
          <w:highlight w:val="none"/>
        </w:rPr>
        <w:t>其响应文件将无效</w:t>
      </w:r>
      <w:r>
        <w:rPr>
          <w:rFonts w:ascii="宋体" w:hAnsi="宋体"/>
          <w:color w:val="auto"/>
          <w:szCs w:val="24"/>
          <w:highlight w:val="none"/>
        </w:rPr>
        <w:t>处理。</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3.4.3响应</w:t>
      </w:r>
      <w:r>
        <w:rPr>
          <w:rFonts w:ascii="宋体" w:hAnsi="宋体"/>
          <w:color w:val="auto"/>
          <w:szCs w:val="24"/>
          <w:highlight w:val="none"/>
        </w:rPr>
        <w:t>文件的任何一页都不应涂改、行间插字或删除。如果出现上述情况，不论何种原因造成，均应由</w:t>
      </w:r>
      <w:r>
        <w:rPr>
          <w:rFonts w:hint="eastAsia" w:ascii="宋体" w:hAnsi="宋体"/>
          <w:color w:val="auto"/>
          <w:szCs w:val="24"/>
          <w:highlight w:val="none"/>
        </w:rPr>
        <w:t>响应文件的签署人</w:t>
      </w:r>
      <w:r>
        <w:rPr>
          <w:rFonts w:ascii="宋体" w:hAnsi="宋体"/>
          <w:color w:val="auto"/>
          <w:szCs w:val="24"/>
          <w:highlight w:val="none"/>
        </w:rPr>
        <w:t>在改动处签</w:t>
      </w:r>
      <w:r>
        <w:rPr>
          <w:rFonts w:hint="eastAsia" w:ascii="宋体" w:hAnsi="宋体"/>
          <w:color w:val="auto"/>
          <w:szCs w:val="24"/>
          <w:highlight w:val="none"/>
        </w:rPr>
        <w:t>字或加</w:t>
      </w:r>
      <w:r>
        <w:rPr>
          <w:rFonts w:ascii="宋体" w:hAnsi="宋体"/>
          <w:color w:val="auto"/>
          <w:szCs w:val="24"/>
          <w:highlight w:val="none"/>
        </w:rPr>
        <w:t>盖公章。</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3.4.4响应</w:t>
      </w:r>
      <w:r>
        <w:rPr>
          <w:rFonts w:ascii="宋体" w:hAnsi="宋体"/>
          <w:color w:val="auto"/>
          <w:szCs w:val="24"/>
          <w:highlight w:val="none"/>
        </w:rPr>
        <w:t>文件</w:t>
      </w:r>
      <w:r>
        <w:rPr>
          <w:rFonts w:hint="eastAsia" w:ascii="宋体" w:hAnsi="宋体"/>
          <w:color w:val="auto"/>
          <w:szCs w:val="24"/>
          <w:highlight w:val="none"/>
        </w:rPr>
        <w:t>胶装</w:t>
      </w:r>
      <w:r>
        <w:rPr>
          <w:rFonts w:ascii="宋体" w:hAnsi="宋体"/>
          <w:color w:val="auto"/>
          <w:szCs w:val="24"/>
          <w:highlight w:val="none"/>
        </w:rPr>
        <w:t>成册。</w:t>
      </w:r>
    </w:p>
    <w:p>
      <w:pPr>
        <w:pStyle w:val="5"/>
        <w:spacing w:before="120" w:after="120" w:line="360" w:lineRule="auto"/>
        <w:jc w:val="left"/>
        <w:rPr>
          <w:rFonts w:ascii="宋体" w:hAnsi="宋体"/>
          <w:color w:val="auto"/>
          <w:sz w:val="24"/>
          <w:szCs w:val="24"/>
          <w:highlight w:val="none"/>
        </w:rPr>
      </w:pPr>
      <w:bookmarkStart w:id="39" w:name="_Toc22770"/>
      <w:r>
        <w:rPr>
          <w:rFonts w:hint="eastAsia" w:ascii="宋体" w:hAnsi="宋体"/>
          <w:color w:val="auto"/>
          <w:sz w:val="24"/>
          <w:szCs w:val="24"/>
          <w:highlight w:val="none"/>
        </w:rPr>
        <w:t>3.5 响应</w:t>
      </w:r>
      <w:r>
        <w:rPr>
          <w:rFonts w:ascii="宋体" w:hAnsi="宋体"/>
          <w:color w:val="auto"/>
          <w:sz w:val="24"/>
          <w:szCs w:val="24"/>
          <w:highlight w:val="none"/>
        </w:rPr>
        <w:t>文件的</w:t>
      </w:r>
      <w:r>
        <w:rPr>
          <w:rFonts w:hint="eastAsia" w:ascii="宋体" w:hAnsi="宋体"/>
          <w:color w:val="auto"/>
          <w:sz w:val="24"/>
          <w:szCs w:val="24"/>
          <w:highlight w:val="none"/>
        </w:rPr>
        <w:t>密封</w:t>
      </w:r>
      <w:bookmarkEnd w:id="3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3.5.1响应</w:t>
      </w:r>
      <w:r>
        <w:rPr>
          <w:rFonts w:ascii="宋体" w:hAnsi="宋体"/>
          <w:color w:val="auto"/>
          <w:szCs w:val="24"/>
          <w:highlight w:val="none"/>
        </w:rPr>
        <w:t>文件的密封</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响应人</w:t>
      </w:r>
      <w:r>
        <w:rPr>
          <w:rFonts w:ascii="宋体" w:hAnsi="宋体"/>
          <w:color w:val="auto"/>
          <w:szCs w:val="24"/>
          <w:highlight w:val="none"/>
        </w:rPr>
        <w:t>应将</w:t>
      </w:r>
      <w:r>
        <w:rPr>
          <w:rFonts w:hint="eastAsia" w:ascii="宋体" w:hAnsi="宋体"/>
          <w:color w:val="auto"/>
          <w:szCs w:val="24"/>
          <w:highlight w:val="none"/>
        </w:rPr>
        <w:t>响应</w:t>
      </w:r>
      <w:r>
        <w:rPr>
          <w:rFonts w:ascii="宋体" w:hAnsi="宋体"/>
          <w:color w:val="auto"/>
          <w:szCs w:val="24"/>
          <w:highlight w:val="none"/>
        </w:rPr>
        <w:t>文件</w:t>
      </w:r>
      <w:r>
        <w:rPr>
          <w:rFonts w:hint="eastAsia" w:ascii="宋体" w:hAnsi="宋体"/>
          <w:color w:val="auto"/>
          <w:szCs w:val="24"/>
          <w:highlight w:val="none"/>
        </w:rPr>
        <w:t>包装并</w:t>
      </w:r>
      <w:r>
        <w:rPr>
          <w:rFonts w:ascii="宋体" w:hAnsi="宋体"/>
          <w:color w:val="auto"/>
          <w:szCs w:val="24"/>
          <w:highlight w:val="none"/>
        </w:rPr>
        <w:t>密封，</w:t>
      </w:r>
      <w:r>
        <w:rPr>
          <w:rFonts w:hint="eastAsia" w:ascii="宋体" w:hAnsi="宋体"/>
          <w:color w:val="auto"/>
          <w:szCs w:val="24"/>
          <w:highlight w:val="none"/>
        </w:rPr>
        <w:t>包装上由响应人</w:t>
      </w:r>
      <w:r>
        <w:rPr>
          <w:rFonts w:ascii="宋体" w:hAnsi="宋体"/>
          <w:color w:val="auto"/>
          <w:szCs w:val="24"/>
          <w:highlight w:val="none"/>
        </w:rPr>
        <w:t>法定代表人或其授权的代理人签署</w:t>
      </w:r>
      <w:r>
        <w:rPr>
          <w:rFonts w:hint="eastAsia" w:ascii="宋体" w:hAnsi="宋体"/>
          <w:color w:val="auto"/>
          <w:szCs w:val="24"/>
          <w:highlight w:val="none"/>
        </w:rPr>
        <w:t>姓名或加盖公章。</w:t>
      </w:r>
      <w:r>
        <w:rPr>
          <w:rFonts w:ascii="宋体" w:hAnsi="宋体"/>
          <w:color w:val="auto"/>
          <w:szCs w:val="24"/>
          <w:highlight w:val="none"/>
        </w:rPr>
        <w:t>未密封的</w:t>
      </w:r>
      <w:r>
        <w:rPr>
          <w:rFonts w:hint="eastAsia" w:ascii="宋体" w:hAnsi="宋体"/>
          <w:color w:val="auto"/>
          <w:szCs w:val="24"/>
          <w:highlight w:val="none"/>
        </w:rPr>
        <w:t>响应</w:t>
      </w:r>
      <w:r>
        <w:rPr>
          <w:rFonts w:ascii="宋体" w:hAnsi="宋体"/>
          <w:color w:val="auto"/>
          <w:szCs w:val="24"/>
          <w:highlight w:val="none"/>
        </w:rPr>
        <w:t>文件将不予签收。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3.6.2响应文件的份数：见采购须知前附表。</w:t>
      </w:r>
    </w:p>
    <w:p>
      <w:pPr>
        <w:pStyle w:val="5"/>
        <w:spacing w:before="120" w:after="120" w:line="360" w:lineRule="auto"/>
        <w:jc w:val="left"/>
        <w:rPr>
          <w:rFonts w:ascii="宋体" w:hAnsi="宋体"/>
          <w:color w:val="auto"/>
          <w:sz w:val="24"/>
          <w:szCs w:val="24"/>
          <w:highlight w:val="none"/>
        </w:rPr>
      </w:pPr>
      <w:bookmarkStart w:id="40" w:name="_Toc18329"/>
      <w:r>
        <w:rPr>
          <w:rFonts w:hint="eastAsia" w:ascii="宋体" w:hAnsi="宋体"/>
          <w:color w:val="auto"/>
          <w:sz w:val="24"/>
          <w:szCs w:val="24"/>
          <w:highlight w:val="none"/>
        </w:rPr>
        <w:t>3.6 响应文件的递交</w:t>
      </w:r>
      <w:bookmarkEnd w:id="40"/>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3.6</w:t>
      </w:r>
      <w:r>
        <w:rPr>
          <w:rFonts w:ascii="宋体" w:hAnsi="宋体"/>
          <w:color w:val="auto"/>
          <w:szCs w:val="24"/>
          <w:highlight w:val="none"/>
        </w:rPr>
        <w:t xml:space="preserve">.1 </w:t>
      </w:r>
      <w:r>
        <w:rPr>
          <w:rFonts w:hint="eastAsia" w:ascii="宋体" w:hAnsi="宋体"/>
          <w:color w:val="auto"/>
          <w:szCs w:val="24"/>
          <w:highlight w:val="none"/>
        </w:rPr>
        <w:t>响应人应在采购须知前附表规定的截止时间前将响应文件递交至价采购须知前附表规定的地址</w:t>
      </w:r>
      <w:r>
        <w:rPr>
          <w:rFonts w:ascii="宋体" w:hAnsi="宋体"/>
          <w:color w:val="auto"/>
          <w:szCs w:val="24"/>
          <w:highlight w:val="none"/>
        </w:rPr>
        <w:t>。</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3.6</w:t>
      </w:r>
      <w:r>
        <w:rPr>
          <w:rFonts w:ascii="宋体" w:hAnsi="宋体"/>
          <w:color w:val="auto"/>
          <w:szCs w:val="24"/>
          <w:highlight w:val="none"/>
        </w:rPr>
        <w:t xml:space="preserve">.2 </w:t>
      </w:r>
      <w:r>
        <w:rPr>
          <w:rFonts w:hint="eastAsia" w:ascii="宋体" w:hAnsi="宋体"/>
          <w:color w:val="auto"/>
          <w:szCs w:val="24"/>
          <w:highlight w:val="none"/>
        </w:rPr>
        <w:t>采购人</w:t>
      </w:r>
      <w:r>
        <w:rPr>
          <w:rFonts w:ascii="宋体" w:hAnsi="宋体"/>
          <w:color w:val="auto"/>
          <w:szCs w:val="24"/>
          <w:highlight w:val="none"/>
        </w:rPr>
        <w:t>可以</w:t>
      </w:r>
      <w:r>
        <w:rPr>
          <w:rFonts w:hint="eastAsia" w:ascii="宋体" w:hAnsi="宋体"/>
          <w:color w:val="auto"/>
          <w:szCs w:val="24"/>
          <w:highlight w:val="none"/>
        </w:rPr>
        <w:t>根据情况，</w:t>
      </w:r>
      <w:r>
        <w:rPr>
          <w:rFonts w:ascii="宋体" w:hAnsi="宋体"/>
          <w:color w:val="auto"/>
          <w:szCs w:val="24"/>
          <w:highlight w:val="none"/>
        </w:rPr>
        <w:t>通过修改</w:t>
      </w:r>
      <w:r>
        <w:rPr>
          <w:rFonts w:hint="eastAsia" w:ascii="宋体" w:hAnsi="宋体"/>
          <w:color w:val="auto"/>
          <w:szCs w:val="24"/>
          <w:highlight w:val="none"/>
        </w:rPr>
        <w:t>采购</w:t>
      </w:r>
      <w:r>
        <w:rPr>
          <w:rFonts w:ascii="宋体" w:hAnsi="宋体"/>
          <w:color w:val="auto"/>
          <w:szCs w:val="24"/>
          <w:highlight w:val="none"/>
        </w:rPr>
        <w:t>文件自行决定酌情延长</w:t>
      </w:r>
      <w:r>
        <w:rPr>
          <w:rFonts w:hint="eastAsia" w:ascii="宋体" w:hAnsi="宋体"/>
          <w:color w:val="auto"/>
          <w:szCs w:val="24"/>
          <w:highlight w:val="none"/>
        </w:rPr>
        <w:t>响应文件</w:t>
      </w:r>
      <w:r>
        <w:rPr>
          <w:rFonts w:ascii="宋体" w:hAnsi="宋体"/>
          <w:color w:val="auto"/>
          <w:szCs w:val="24"/>
          <w:highlight w:val="none"/>
        </w:rPr>
        <w:t>截止期。在此情况下，受</w:t>
      </w:r>
      <w:r>
        <w:rPr>
          <w:rFonts w:hint="eastAsia" w:ascii="宋体" w:hAnsi="宋体"/>
          <w:color w:val="auto"/>
          <w:szCs w:val="24"/>
          <w:highlight w:val="none"/>
        </w:rPr>
        <w:t>采购活动</w:t>
      </w:r>
      <w:r>
        <w:rPr>
          <w:rFonts w:ascii="宋体" w:hAnsi="宋体"/>
          <w:color w:val="auto"/>
          <w:szCs w:val="24"/>
          <w:highlight w:val="none"/>
        </w:rPr>
        <w:t>截止期制约的所有权利和义务均应延长至新的截止日期。</w:t>
      </w:r>
    </w:p>
    <w:p>
      <w:pPr>
        <w:pStyle w:val="4"/>
        <w:spacing w:before="240" w:after="120" w:line="360" w:lineRule="auto"/>
        <w:jc w:val="both"/>
        <w:rPr>
          <w:rFonts w:ascii="宋体" w:hAnsi="宋体"/>
          <w:color w:val="auto"/>
          <w:sz w:val="28"/>
          <w:szCs w:val="28"/>
          <w:highlight w:val="none"/>
        </w:rPr>
      </w:pPr>
      <w:bookmarkStart w:id="41" w:name="_Toc14240"/>
      <w:r>
        <w:rPr>
          <w:rFonts w:hint="eastAsia" w:ascii="宋体" w:hAnsi="宋体"/>
          <w:color w:val="auto"/>
          <w:sz w:val="28"/>
          <w:szCs w:val="28"/>
          <w:highlight w:val="none"/>
        </w:rPr>
        <w:t>4响应文件的评审</w:t>
      </w:r>
      <w:bookmarkEnd w:id="41"/>
    </w:p>
    <w:p>
      <w:pPr>
        <w:pStyle w:val="5"/>
        <w:spacing w:before="120" w:after="120" w:line="360" w:lineRule="auto"/>
        <w:jc w:val="left"/>
        <w:rPr>
          <w:rFonts w:ascii="宋体" w:hAnsi="宋体"/>
          <w:color w:val="auto"/>
          <w:sz w:val="24"/>
          <w:szCs w:val="24"/>
          <w:highlight w:val="none"/>
        </w:rPr>
      </w:pPr>
      <w:bookmarkStart w:id="42" w:name="_Toc17155"/>
      <w:r>
        <w:rPr>
          <w:rFonts w:hint="eastAsia" w:ascii="宋体" w:hAnsi="宋体"/>
          <w:color w:val="auto"/>
          <w:sz w:val="24"/>
          <w:szCs w:val="24"/>
          <w:highlight w:val="none"/>
        </w:rPr>
        <w:t>4.1</w:t>
      </w:r>
      <w:r>
        <w:rPr>
          <w:rFonts w:ascii="宋体" w:hAnsi="宋体"/>
          <w:color w:val="auto"/>
          <w:sz w:val="24"/>
          <w:szCs w:val="24"/>
          <w:highlight w:val="none"/>
        </w:rPr>
        <w:t>．</w:t>
      </w:r>
      <w:r>
        <w:rPr>
          <w:rFonts w:hint="eastAsia" w:ascii="宋体" w:hAnsi="宋体"/>
          <w:color w:val="auto"/>
          <w:sz w:val="24"/>
          <w:szCs w:val="24"/>
          <w:highlight w:val="none"/>
        </w:rPr>
        <w:t xml:space="preserve"> 响应文件的开启</w:t>
      </w:r>
      <w:bookmarkEnd w:id="4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4.1.1采购人在采购须知前附表规定的时间和地点公开开启响应文件，采购人代表、响应人代表及有关工作人员参加。</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4.1.2响应文件开启后，公布采购人认为适当的内容，并制作书面记录。</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4.1.3响应人应在书面记录上签字确认，未签字确认的视为默认响应文件开启结果。</w:t>
      </w:r>
    </w:p>
    <w:p>
      <w:pPr>
        <w:pStyle w:val="5"/>
        <w:spacing w:before="120" w:after="120" w:line="360" w:lineRule="auto"/>
        <w:jc w:val="left"/>
        <w:rPr>
          <w:rFonts w:ascii="宋体" w:hAnsi="宋体"/>
          <w:color w:val="auto"/>
          <w:sz w:val="24"/>
          <w:szCs w:val="24"/>
          <w:highlight w:val="none"/>
        </w:rPr>
      </w:pPr>
      <w:bookmarkStart w:id="43" w:name="_Toc8225"/>
      <w:r>
        <w:rPr>
          <w:rFonts w:hint="eastAsia" w:ascii="宋体" w:hAnsi="宋体"/>
          <w:color w:val="auto"/>
          <w:sz w:val="24"/>
          <w:szCs w:val="24"/>
          <w:highlight w:val="none"/>
        </w:rPr>
        <w:t>4.2评审办法</w:t>
      </w:r>
      <w:bookmarkEnd w:id="43"/>
    </w:p>
    <w:p>
      <w:pPr>
        <w:spacing w:before="120" w:beforeLines="50" w:after="120" w:afterLines="50" w:line="360" w:lineRule="auto"/>
        <w:ind w:firstLine="480" w:firstLineChars="200"/>
        <w:rPr>
          <w:rFonts w:ascii="宋体" w:hAnsi="宋体"/>
          <w:color w:val="auto"/>
          <w:szCs w:val="24"/>
          <w:highlight w:val="none"/>
        </w:rPr>
      </w:pPr>
      <w:r>
        <w:rPr>
          <w:rFonts w:hint="eastAsia" w:ascii="宋体" w:hAnsi="宋体"/>
          <w:color w:val="auto"/>
          <w:szCs w:val="24"/>
          <w:highlight w:val="none"/>
        </w:rPr>
        <w:t>4.2.1 采购评审小组</w:t>
      </w:r>
    </w:p>
    <w:p>
      <w:pPr>
        <w:pStyle w:val="2"/>
        <w:spacing w:line="360" w:lineRule="auto"/>
        <w:rPr>
          <w:rFonts w:ascii="宋体" w:hAnsi="宋体"/>
          <w:color w:val="auto"/>
          <w:kern w:val="2"/>
          <w:szCs w:val="24"/>
          <w:highlight w:val="none"/>
        </w:rPr>
      </w:pPr>
      <w:r>
        <w:rPr>
          <w:rFonts w:hint="eastAsia" w:ascii="宋体" w:hAnsi="宋体"/>
          <w:color w:val="auto"/>
          <w:kern w:val="2"/>
          <w:szCs w:val="24"/>
          <w:highlight w:val="none"/>
        </w:rPr>
        <w:t>采购人将组建采购评审小组。采购评审小组由采购人代表组成，人数为3人及以上单数。采购评审小组负责对报价人资格进行核查、对响应文件进行审查。评审小组对满足响应文件实质性要求的响应文件，根据有效报价由低到高进行排序并确定成交候选人。如出现报价相同的情况，通过随机抽取方式确认成交候选人排序。</w:t>
      </w:r>
    </w:p>
    <w:p>
      <w:pPr>
        <w:pStyle w:val="2"/>
        <w:spacing w:line="360" w:lineRule="auto"/>
        <w:rPr>
          <w:color w:val="auto"/>
          <w:highlight w:val="none"/>
        </w:rPr>
      </w:pPr>
      <w:r>
        <w:rPr>
          <w:rFonts w:hint="eastAsia"/>
          <w:color w:val="auto"/>
          <w:highlight w:val="none"/>
        </w:rPr>
        <w:t>通过资格审查的报价人且报价不高于最高限价的为有效报价，否则视为无效报价，无效报价不具备报价资格。</w:t>
      </w:r>
    </w:p>
    <w:p>
      <w:pPr>
        <w:pStyle w:val="2"/>
        <w:spacing w:line="360" w:lineRule="auto"/>
        <w:rPr>
          <w:rFonts w:ascii="宋体" w:hAnsi="宋体"/>
          <w:color w:val="auto"/>
          <w:kern w:val="2"/>
          <w:szCs w:val="24"/>
          <w:highlight w:val="none"/>
        </w:rPr>
      </w:pPr>
      <w:r>
        <w:rPr>
          <w:rFonts w:hint="eastAsia" w:ascii="宋体" w:hAnsi="宋体"/>
          <w:color w:val="auto"/>
          <w:kern w:val="2"/>
          <w:szCs w:val="24"/>
          <w:highlight w:val="none"/>
        </w:rPr>
        <w:t>报价有算术错误的，评审委员会按以下原则对报价进行修正，修正的价格经报价人书面确认后具有约束力。报价人不接受修正价格的，评审委员会应当否决其报价。</w:t>
      </w:r>
    </w:p>
    <w:p>
      <w:pPr>
        <w:pStyle w:val="2"/>
        <w:spacing w:line="360" w:lineRule="auto"/>
        <w:rPr>
          <w:rFonts w:ascii="宋体" w:hAnsi="宋体"/>
          <w:color w:val="auto"/>
          <w:kern w:val="2"/>
          <w:szCs w:val="24"/>
          <w:highlight w:val="none"/>
        </w:rPr>
      </w:pPr>
      <w:r>
        <w:rPr>
          <w:rFonts w:hint="eastAsia" w:ascii="宋体" w:hAnsi="宋体"/>
          <w:color w:val="auto"/>
          <w:kern w:val="2"/>
          <w:szCs w:val="24"/>
          <w:highlight w:val="none"/>
        </w:rPr>
        <w:t>（1）响应文件中的大写金额与小写金额不一致的，以大写金额为准；</w:t>
      </w:r>
    </w:p>
    <w:p>
      <w:pPr>
        <w:pStyle w:val="2"/>
        <w:spacing w:line="360" w:lineRule="auto"/>
        <w:rPr>
          <w:rFonts w:ascii="宋体" w:hAnsi="宋体"/>
          <w:color w:val="auto"/>
          <w:kern w:val="2"/>
          <w:szCs w:val="24"/>
          <w:highlight w:val="none"/>
        </w:rPr>
      </w:pPr>
      <w:r>
        <w:rPr>
          <w:rFonts w:hint="eastAsia" w:ascii="宋体" w:hAnsi="宋体"/>
          <w:color w:val="auto"/>
          <w:kern w:val="2"/>
          <w:szCs w:val="24"/>
          <w:highlight w:val="none"/>
        </w:rPr>
        <w:t>（2）总价金额与依据单价计算出的结果不一致的，以单价金额为准修正总价，但单价金额小数点有明显错误的除外。</w:t>
      </w:r>
    </w:p>
    <w:p>
      <w:pPr>
        <w:spacing w:before="120" w:beforeLines="50" w:after="120" w:afterLines="50" w:line="360" w:lineRule="auto"/>
        <w:ind w:firstLine="480" w:firstLineChars="200"/>
        <w:rPr>
          <w:rFonts w:ascii="宋体" w:hAnsi="宋体"/>
          <w:color w:val="auto"/>
          <w:szCs w:val="24"/>
          <w:highlight w:val="none"/>
        </w:rPr>
      </w:pPr>
      <w:r>
        <w:rPr>
          <w:rFonts w:hint="eastAsia" w:ascii="宋体" w:hAnsi="宋体"/>
          <w:color w:val="auto"/>
          <w:szCs w:val="24"/>
          <w:highlight w:val="none"/>
        </w:rPr>
        <w:t>4.2.2 响应文件的审查</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（1）资格审查</w:t>
      </w:r>
    </w:p>
    <w:p>
      <w:pPr>
        <w:spacing w:line="360" w:lineRule="auto"/>
        <w:ind w:firstLine="480" w:firstLineChars="200"/>
        <w:rPr>
          <w:color w:val="auto"/>
          <w:highlight w:val="none"/>
        </w:rPr>
      </w:pPr>
      <w:r>
        <w:rPr>
          <w:rFonts w:hint="eastAsia" w:ascii="宋体" w:hAnsi="宋体"/>
          <w:color w:val="auto"/>
          <w:szCs w:val="24"/>
          <w:highlight w:val="none"/>
        </w:rPr>
        <w:t>①具有独立法人资格，持有有效的营业执照，且与承包商名称一致；</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②资质条件满足第一章“采购公告”第1.4款的规定；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③承包商近三年的施工业绩符合第一章“采购公告”第1.4款的规定；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④承包商信誉符合第一章“采购公告”第1.4款的规定。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（2）形式与响应性审查</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①如办理了授权，授权委托应有效；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②响应文件应按本章第3.4款规定签字或盖章；</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③响应文件的格式应符合第五章“响应文件格式”的规定；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④响应有效期符合本章第3.3款的规定；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⑤工期符合第一章“采购公告”第1.3款的规定；</w:t>
      </w:r>
    </w:p>
    <w:p>
      <w:pPr>
        <w:spacing w:line="360" w:lineRule="auto"/>
        <w:ind w:firstLine="480" w:firstLineChars="200"/>
        <w:rPr>
          <w:rFonts w:ascii="宋体" w:hAnsi="宋体"/>
          <w:color w:val="auto"/>
          <w:szCs w:val="24"/>
          <w:highlight w:val="none"/>
        </w:rPr>
      </w:pPr>
      <w:r>
        <w:rPr>
          <w:rFonts w:hint="eastAsia" w:ascii="宋体" w:hAnsi="宋体" w:cs="宋体"/>
          <w:color w:val="auto"/>
          <w:szCs w:val="24"/>
          <w:highlight w:val="none"/>
        </w:rPr>
        <w:t>⑥</w:t>
      </w:r>
      <w:r>
        <w:rPr>
          <w:rFonts w:hint="eastAsia" w:ascii="宋体" w:hAnsi="宋体"/>
          <w:color w:val="auto"/>
          <w:szCs w:val="24"/>
          <w:highlight w:val="none"/>
        </w:rPr>
        <w:t>工程质量达到响应函质量要求为合格。</w:t>
      </w:r>
    </w:p>
    <w:p>
      <w:pPr>
        <w:spacing w:line="360" w:lineRule="auto"/>
        <w:ind w:firstLine="480" w:firstLineChars="200"/>
        <w:rPr>
          <w:rFonts w:ascii="宋体" w:hAnsi="宋体"/>
          <w:color w:val="auto"/>
          <w:szCs w:val="24"/>
          <w:highlight w:val="none"/>
        </w:rPr>
      </w:pPr>
      <w:r>
        <w:rPr>
          <w:rFonts w:hint="eastAsia" w:ascii="宋体" w:hAnsi="宋体" w:cs="宋体"/>
          <w:color w:val="auto"/>
          <w:szCs w:val="24"/>
          <w:highlight w:val="none"/>
        </w:rPr>
        <w:t>⑦</w:t>
      </w:r>
      <w:r>
        <w:rPr>
          <w:rFonts w:hint="eastAsia" w:ascii="宋体" w:hAnsi="宋体"/>
          <w:color w:val="auto"/>
          <w:szCs w:val="24"/>
          <w:highlight w:val="none"/>
        </w:rPr>
        <w:t>只有一个报价，且未超过最高成交限价；</w:t>
      </w:r>
    </w:p>
    <w:p>
      <w:pPr>
        <w:spacing w:line="360" w:lineRule="auto"/>
        <w:ind w:firstLine="480" w:firstLineChars="200"/>
        <w:rPr>
          <w:rFonts w:ascii="宋体" w:hAnsi="宋体"/>
          <w:color w:val="auto"/>
          <w:szCs w:val="24"/>
          <w:highlight w:val="none"/>
        </w:rPr>
      </w:pPr>
      <w:r>
        <w:rPr>
          <w:rFonts w:hint="eastAsia" w:ascii="宋体" w:hAnsi="宋体" w:cs="宋体"/>
          <w:color w:val="auto"/>
          <w:szCs w:val="24"/>
          <w:highlight w:val="none"/>
        </w:rPr>
        <w:t>⑧</w:t>
      </w:r>
      <w:r>
        <w:rPr>
          <w:rFonts w:hint="eastAsia" w:ascii="宋体" w:hAnsi="宋体"/>
          <w:color w:val="auto"/>
          <w:szCs w:val="24"/>
          <w:highlight w:val="none"/>
        </w:rPr>
        <w:t>已标价工程量清单符合第五章“响应文件格式”中“工程量清单”给出的范围和数量规定。</w:t>
      </w:r>
    </w:p>
    <w:p>
      <w:pPr>
        <w:spacing w:line="360" w:lineRule="auto"/>
        <w:ind w:firstLine="480" w:firstLineChars="200"/>
        <w:rPr>
          <w:b/>
          <w:bCs/>
          <w:color w:val="auto"/>
          <w:highlight w:val="none"/>
        </w:rPr>
      </w:pPr>
      <w:r>
        <w:rPr>
          <w:rFonts w:hint="eastAsia" w:ascii="宋体" w:hAnsi="宋体"/>
          <w:color w:val="auto"/>
          <w:szCs w:val="24"/>
          <w:highlight w:val="none"/>
        </w:rPr>
        <w:t>不响应以上文件审查中的响应人，可认定其为重大偏差，执行废标选项。</w:t>
      </w:r>
    </w:p>
    <w:p>
      <w:pPr>
        <w:pStyle w:val="4"/>
        <w:spacing w:before="240" w:after="120" w:line="360" w:lineRule="auto"/>
        <w:jc w:val="both"/>
        <w:rPr>
          <w:rFonts w:ascii="宋体" w:hAnsi="宋体"/>
          <w:color w:val="auto"/>
          <w:sz w:val="28"/>
          <w:szCs w:val="28"/>
          <w:highlight w:val="none"/>
        </w:rPr>
      </w:pPr>
      <w:bookmarkStart w:id="44" w:name="_Toc5606"/>
      <w:r>
        <w:rPr>
          <w:rFonts w:hint="eastAsia" w:ascii="宋体" w:hAnsi="宋体"/>
          <w:color w:val="auto"/>
          <w:sz w:val="28"/>
          <w:szCs w:val="28"/>
          <w:highlight w:val="none"/>
        </w:rPr>
        <w:t>5合同授予</w:t>
      </w:r>
      <w:bookmarkEnd w:id="44"/>
    </w:p>
    <w:p>
      <w:pPr>
        <w:pStyle w:val="5"/>
        <w:spacing w:before="120" w:after="120" w:line="360" w:lineRule="auto"/>
        <w:jc w:val="left"/>
        <w:rPr>
          <w:rFonts w:ascii="宋体" w:hAnsi="宋体"/>
          <w:color w:val="auto"/>
          <w:sz w:val="24"/>
          <w:szCs w:val="24"/>
          <w:highlight w:val="none"/>
        </w:rPr>
      </w:pPr>
      <w:bookmarkStart w:id="45" w:name="_Toc11373"/>
      <w:r>
        <w:rPr>
          <w:rFonts w:hint="eastAsia" w:ascii="宋体" w:hAnsi="宋体"/>
          <w:color w:val="auto"/>
          <w:sz w:val="24"/>
          <w:szCs w:val="24"/>
          <w:highlight w:val="none"/>
        </w:rPr>
        <w:t>5.1成交方式</w:t>
      </w:r>
      <w:bookmarkEnd w:id="4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采购人依据评审结果，确定有效报价最低的响应人为成交承包商；如出现报价相同的情况，通过随机抽取方式确认成交承包商。</w:t>
      </w:r>
    </w:p>
    <w:p>
      <w:pPr>
        <w:pStyle w:val="5"/>
        <w:spacing w:before="120" w:after="120" w:line="360" w:lineRule="auto"/>
        <w:jc w:val="left"/>
        <w:rPr>
          <w:rFonts w:ascii="宋体" w:hAnsi="宋体"/>
          <w:color w:val="auto"/>
          <w:sz w:val="24"/>
          <w:szCs w:val="24"/>
          <w:highlight w:val="none"/>
        </w:rPr>
      </w:pPr>
      <w:bookmarkStart w:id="46" w:name="_Toc25542"/>
      <w:r>
        <w:rPr>
          <w:rFonts w:hint="eastAsia" w:ascii="宋体" w:hAnsi="宋体"/>
          <w:color w:val="auto"/>
          <w:sz w:val="24"/>
          <w:szCs w:val="24"/>
          <w:highlight w:val="none"/>
        </w:rPr>
        <w:t>5.2成交通知</w:t>
      </w:r>
      <w:bookmarkEnd w:id="4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在响应有效期内，采购人以书面形式向成交承包商发出成交通知书，向未成交承包商发出成交结果通知书。</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采购人可以视项目具体情况在发出成交通知书之前随时中止本次询价活动，并对由此而引起的对承包商的影响不承担责任。</w:t>
      </w:r>
    </w:p>
    <w:p>
      <w:pPr>
        <w:pStyle w:val="5"/>
        <w:spacing w:before="120" w:after="120" w:line="360" w:lineRule="auto"/>
        <w:jc w:val="left"/>
        <w:rPr>
          <w:rFonts w:ascii="宋体" w:hAnsi="宋体"/>
          <w:color w:val="auto"/>
          <w:sz w:val="24"/>
          <w:szCs w:val="24"/>
          <w:highlight w:val="none"/>
        </w:rPr>
      </w:pPr>
      <w:bookmarkStart w:id="47" w:name="_Toc296602459"/>
      <w:bookmarkStart w:id="48" w:name="_Toc26016"/>
      <w:bookmarkStart w:id="49" w:name="_Toc152042345"/>
      <w:bookmarkStart w:id="50" w:name="_Toc419015648"/>
      <w:bookmarkStart w:id="51" w:name="_Toc247085727"/>
      <w:bookmarkStart w:id="52" w:name="_Toc179632587"/>
      <w:bookmarkStart w:id="53" w:name="_Toc144974537"/>
      <w:bookmarkStart w:id="54" w:name="_Toc246996213"/>
      <w:bookmarkStart w:id="55" w:name="_Toc246996956"/>
      <w:bookmarkStart w:id="56" w:name="_Toc152045569"/>
      <w:r>
        <w:rPr>
          <w:rFonts w:hint="eastAsia" w:ascii="宋体" w:hAnsi="宋体"/>
          <w:color w:val="auto"/>
          <w:sz w:val="24"/>
          <w:szCs w:val="24"/>
          <w:highlight w:val="none"/>
        </w:rPr>
        <w:t>5.3 履约担保</w:t>
      </w:r>
      <w:bookmarkEnd w:id="47"/>
      <w:bookmarkEnd w:id="48"/>
      <w:bookmarkEnd w:id="49"/>
      <w:bookmarkEnd w:id="50"/>
      <w:bookmarkEnd w:id="51"/>
      <w:bookmarkEnd w:id="52"/>
      <w:bookmarkEnd w:id="53"/>
      <w:bookmarkEnd w:id="54"/>
      <w:bookmarkEnd w:id="55"/>
      <w:bookmarkEnd w:id="5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5.3.1在签订合同前，成交承包商应按采购须知前附表规定的担保形式和内容或者事先经过采购人书面认可的履约担保格式向采购人提交履约担保。</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5.3.2成交承包商不能按要求提交履约担保的，视为放弃。</w:t>
      </w:r>
    </w:p>
    <w:p>
      <w:pPr>
        <w:pStyle w:val="5"/>
        <w:spacing w:before="120" w:after="120" w:line="360" w:lineRule="auto"/>
        <w:jc w:val="left"/>
        <w:rPr>
          <w:rFonts w:ascii="宋体" w:hAnsi="宋体"/>
          <w:color w:val="auto"/>
          <w:sz w:val="24"/>
          <w:szCs w:val="24"/>
          <w:highlight w:val="none"/>
        </w:rPr>
      </w:pPr>
      <w:bookmarkStart w:id="57" w:name="_Toc24147"/>
      <w:r>
        <w:rPr>
          <w:rFonts w:hint="eastAsia" w:ascii="宋体" w:hAnsi="宋体"/>
          <w:color w:val="auto"/>
          <w:sz w:val="24"/>
          <w:szCs w:val="24"/>
          <w:highlight w:val="none"/>
        </w:rPr>
        <w:t>5.4合同的签订</w:t>
      </w:r>
      <w:bookmarkEnd w:id="5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5.4.1成交承包商应按成交通知书规定的时间和地点，由法定代表人或其授权委托人与采购人签订合同。</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5.4.2成交承包商无正当理由拒签合同的，采购人取消其成交资格；采购人有权有权按成交候选人排名依序选择其他候选人签订合同或重新组织询价。</w:t>
      </w:r>
    </w:p>
    <w:p>
      <w:pPr>
        <w:pStyle w:val="4"/>
        <w:spacing w:before="240" w:after="120" w:line="360" w:lineRule="auto"/>
        <w:jc w:val="both"/>
        <w:rPr>
          <w:rFonts w:ascii="宋体" w:hAnsi="宋体"/>
          <w:color w:val="auto"/>
          <w:sz w:val="28"/>
          <w:szCs w:val="28"/>
          <w:highlight w:val="none"/>
        </w:rPr>
      </w:pPr>
      <w:bookmarkStart w:id="58" w:name="_Toc22436"/>
      <w:r>
        <w:rPr>
          <w:rFonts w:hint="eastAsia" w:ascii="宋体" w:hAnsi="宋体"/>
          <w:color w:val="auto"/>
          <w:sz w:val="28"/>
          <w:szCs w:val="28"/>
          <w:highlight w:val="none"/>
        </w:rPr>
        <w:t>6监督</w:t>
      </w:r>
      <w:bookmarkEnd w:id="5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监督部门：江西省</w:t>
      </w:r>
      <w:r>
        <w:rPr>
          <w:rFonts w:hint="eastAsia" w:ascii="宋体" w:hAnsi="宋体"/>
          <w:color w:val="auto"/>
          <w:szCs w:val="24"/>
          <w:highlight w:val="none"/>
          <w:lang w:eastAsia="zh-CN"/>
        </w:rPr>
        <w:t>交通</w:t>
      </w:r>
      <w:r>
        <w:rPr>
          <w:rFonts w:hint="eastAsia" w:ascii="宋体" w:hAnsi="宋体"/>
          <w:color w:val="auto"/>
          <w:szCs w:val="24"/>
          <w:highlight w:val="none"/>
        </w:rPr>
        <w:t>投资集团有限责任公司纪检监察室</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地    址：江西省南昌市朝阳洲中路367号</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电    话：0791-86243447</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邮</w:t>
      </w:r>
      <w:r>
        <w:rPr>
          <w:rFonts w:hint="eastAsia" w:ascii="宋体" w:hAnsi="宋体"/>
          <w:color w:val="auto"/>
          <w:szCs w:val="24"/>
          <w:highlight w:val="none"/>
        </w:rPr>
        <w:t xml:space="preserve">    </w:t>
      </w:r>
      <w:r>
        <w:rPr>
          <w:rFonts w:ascii="宋体" w:hAnsi="宋体"/>
          <w:color w:val="auto"/>
          <w:szCs w:val="24"/>
          <w:highlight w:val="none"/>
        </w:rPr>
        <w:t>编：</w:t>
      </w:r>
      <w:r>
        <w:rPr>
          <w:rFonts w:hint="eastAsia" w:ascii="宋体" w:hAnsi="宋体"/>
          <w:color w:val="auto"/>
          <w:szCs w:val="24"/>
          <w:highlight w:val="none"/>
        </w:rPr>
        <w:t>330038</w:t>
      </w:r>
    </w:p>
    <w:p>
      <w:pPr>
        <w:spacing w:line="480" w:lineRule="exact"/>
        <w:ind w:firstLine="480" w:firstLineChars="200"/>
        <w:rPr>
          <w:rFonts w:ascii="宋体" w:hAnsi="宋体"/>
          <w:color w:val="auto"/>
          <w:szCs w:val="24"/>
          <w:highlight w:val="none"/>
        </w:rPr>
      </w:pPr>
    </w:p>
    <w:p>
      <w:pPr>
        <w:pStyle w:val="4"/>
        <w:jc w:val="left"/>
        <w:rPr>
          <w:rFonts w:ascii="宋体" w:hAnsi="宋体"/>
          <w:color w:val="auto"/>
          <w:sz w:val="28"/>
          <w:szCs w:val="28"/>
          <w:highlight w:val="none"/>
        </w:rPr>
      </w:pPr>
      <w:r>
        <w:rPr>
          <w:rFonts w:ascii="宋体" w:hAnsi="宋体"/>
          <w:color w:val="auto"/>
          <w:szCs w:val="24"/>
          <w:highlight w:val="none"/>
        </w:rPr>
        <w:br w:type="page"/>
      </w:r>
      <w:bookmarkEnd w:id="27"/>
      <w:bookmarkStart w:id="59" w:name="_Toc144974551"/>
      <w:bookmarkStart w:id="60" w:name="_Toc296602472"/>
      <w:bookmarkStart w:id="61" w:name="_Toc419015660"/>
      <w:bookmarkStart w:id="62" w:name="_Toc246996970"/>
      <w:bookmarkStart w:id="63" w:name="_Toc179632602"/>
      <w:bookmarkStart w:id="64" w:name="_Toc246996227"/>
      <w:bookmarkStart w:id="65" w:name="_Toc152042361"/>
      <w:bookmarkStart w:id="66" w:name="_Toc26338"/>
      <w:bookmarkStart w:id="67" w:name="_Toc152045584"/>
      <w:bookmarkStart w:id="68" w:name="_Toc247085742"/>
      <w:bookmarkStart w:id="69" w:name="_Toc144974511"/>
      <w:bookmarkStart w:id="70" w:name="_Toc152045543"/>
      <w:bookmarkStart w:id="71" w:name="_Toc152042319"/>
      <w:r>
        <w:rPr>
          <w:rFonts w:hint="eastAsia" w:ascii="宋体" w:hAnsi="宋体"/>
          <w:color w:val="auto"/>
          <w:sz w:val="28"/>
          <w:szCs w:val="28"/>
          <w:highlight w:val="none"/>
        </w:rPr>
        <w:t>附件一：成交通知书</w:t>
      </w:r>
      <w:bookmarkEnd w:id="59"/>
      <w:bookmarkEnd w:id="60"/>
      <w:bookmarkEnd w:id="61"/>
      <w:bookmarkEnd w:id="62"/>
      <w:bookmarkEnd w:id="63"/>
      <w:bookmarkEnd w:id="64"/>
      <w:bookmarkEnd w:id="65"/>
      <w:bookmarkEnd w:id="66"/>
      <w:bookmarkEnd w:id="67"/>
      <w:bookmarkEnd w:id="68"/>
    </w:p>
    <w:p>
      <w:pPr>
        <w:spacing w:line="400" w:lineRule="exact"/>
        <w:rPr>
          <w:color w:val="auto"/>
          <w:highlight w:val="none"/>
        </w:rPr>
      </w:pPr>
    </w:p>
    <w:p>
      <w:pPr>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rPr>
        <w:t>成交通知书</w:t>
      </w:r>
    </w:p>
    <w:p>
      <w:pPr>
        <w:spacing w:line="400" w:lineRule="exact"/>
        <w:rPr>
          <w:color w:val="auto"/>
          <w:highlight w:val="none"/>
        </w:rPr>
      </w:pPr>
      <w:r>
        <w:rPr>
          <w:color w:val="auto"/>
          <w:highlight w:val="none"/>
        </w:rPr>
        <w:t xml:space="preserve">                              </w:t>
      </w:r>
    </w:p>
    <w:p>
      <w:pPr>
        <w:spacing w:line="440" w:lineRule="exact"/>
        <w:rPr>
          <w:color w:val="auto"/>
          <w:szCs w:val="21"/>
          <w:highlight w:val="none"/>
        </w:rPr>
      </w:pPr>
      <w:r>
        <w:rPr>
          <w:color w:val="auto"/>
          <w:szCs w:val="21"/>
          <w:highlight w:val="none"/>
          <w:u w:val="single"/>
        </w:rPr>
        <w:t xml:space="preserve">                   </w:t>
      </w:r>
      <w:r>
        <w:rPr>
          <w:color w:val="auto"/>
          <w:szCs w:val="21"/>
          <w:highlight w:val="none"/>
        </w:rPr>
        <w:t>（</w:t>
      </w:r>
      <w:r>
        <w:rPr>
          <w:rFonts w:hint="eastAsia"/>
          <w:color w:val="auto"/>
          <w:szCs w:val="21"/>
          <w:highlight w:val="none"/>
        </w:rPr>
        <w:t>承包商</w:t>
      </w:r>
      <w:r>
        <w:rPr>
          <w:color w:val="auto"/>
          <w:szCs w:val="21"/>
          <w:highlight w:val="none"/>
        </w:rPr>
        <w:t>名称）：</w:t>
      </w:r>
    </w:p>
    <w:p>
      <w:pPr>
        <w:spacing w:line="440" w:lineRule="exact"/>
        <w:rPr>
          <w:color w:val="auto"/>
          <w:szCs w:val="21"/>
          <w:highlight w:val="none"/>
        </w:rPr>
      </w:pPr>
    </w:p>
    <w:p>
      <w:pPr>
        <w:spacing w:line="440" w:lineRule="exact"/>
        <w:rPr>
          <w:color w:val="auto"/>
          <w:szCs w:val="21"/>
          <w:highlight w:val="none"/>
        </w:rPr>
      </w:pPr>
      <w:r>
        <w:rPr>
          <w:color w:val="auto"/>
          <w:szCs w:val="21"/>
          <w:highlight w:val="none"/>
        </w:rPr>
        <w:t>　　你方于</w:t>
      </w:r>
      <w:r>
        <w:rPr>
          <w:color w:val="auto"/>
          <w:szCs w:val="21"/>
          <w:highlight w:val="none"/>
          <w:u w:val="single"/>
        </w:rPr>
        <w:t xml:space="preserve">                   </w:t>
      </w:r>
      <w:r>
        <w:rPr>
          <w:color w:val="auto"/>
          <w:szCs w:val="21"/>
          <w:highlight w:val="none"/>
        </w:rPr>
        <w:t>（</w:t>
      </w:r>
      <w:r>
        <w:rPr>
          <w:rFonts w:hint="eastAsia"/>
          <w:color w:val="auto"/>
          <w:szCs w:val="21"/>
          <w:highlight w:val="none"/>
        </w:rPr>
        <w:t>响应文件递交</w:t>
      </w:r>
      <w:r>
        <w:rPr>
          <w:color w:val="auto"/>
          <w:szCs w:val="21"/>
          <w:highlight w:val="none"/>
        </w:rPr>
        <w:t>日期）所递交的</w:t>
      </w:r>
      <w:r>
        <w:rPr>
          <w:color w:val="auto"/>
          <w:szCs w:val="21"/>
          <w:highlight w:val="none"/>
          <w:u w:val="single"/>
        </w:rPr>
        <w:t xml:space="preserve">                   （项目名称）</w:t>
      </w:r>
      <w:r>
        <w:rPr>
          <w:rFonts w:hint="eastAsia"/>
          <w:color w:val="auto"/>
          <w:szCs w:val="21"/>
          <w:highlight w:val="none"/>
          <w:u w:val="single"/>
        </w:rPr>
        <w:t xml:space="preserve"> </w:t>
      </w:r>
      <w:r>
        <w:rPr>
          <w:rFonts w:hint="eastAsia"/>
          <w:color w:val="auto"/>
          <w:szCs w:val="21"/>
          <w:highlight w:val="none"/>
        </w:rPr>
        <w:t>响应</w:t>
      </w:r>
      <w:r>
        <w:rPr>
          <w:color w:val="auto"/>
          <w:szCs w:val="21"/>
          <w:highlight w:val="none"/>
        </w:rPr>
        <w:t>文件已被我方接受，被确定为</w:t>
      </w:r>
      <w:r>
        <w:rPr>
          <w:rFonts w:hint="eastAsia"/>
          <w:color w:val="auto"/>
          <w:szCs w:val="21"/>
          <w:highlight w:val="none"/>
        </w:rPr>
        <w:t>成交承包商</w:t>
      </w:r>
      <w:r>
        <w:rPr>
          <w:color w:val="auto"/>
          <w:szCs w:val="21"/>
          <w:highlight w:val="none"/>
        </w:rPr>
        <w:t>。</w:t>
      </w:r>
    </w:p>
    <w:p>
      <w:pPr>
        <w:spacing w:line="440" w:lineRule="exact"/>
        <w:rPr>
          <w:color w:val="auto"/>
          <w:szCs w:val="21"/>
          <w:highlight w:val="none"/>
        </w:rPr>
      </w:pPr>
      <w:r>
        <w:rPr>
          <w:color w:val="auto"/>
          <w:szCs w:val="21"/>
          <w:highlight w:val="none"/>
        </w:rPr>
        <w:t>　　</w:t>
      </w:r>
      <w:r>
        <w:rPr>
          <w:rFonts w:hint="eastAsia"/>
          <w:color w:val="auto"/>
          <w:szCs w:val="21"/>
          <w:highlight w:val="none"/>
        </w:rPr>
        <w:t>成交</w:t>
      </w:r>
      <w:r>
        <w:rPr>
          <w:color w:val="auto"/>
          <w:szCs w:val="21"/>
          <w:highlight w:val="none"/>
        </w:rPr>
        <w:t>价：</w:t>
      </w:r>
      <w:r>
        <w:rPr>
          <w:color w:val="auto"/>
          <w:szCs w:val="21"/>
          <w:highlight w:val="none"/>
          <w:u w:val="single"/>
        </w:rPr>
        <w:t xml:space="preserve">                   </w:t>
      </w:r>
      <w:r>
        <w:rPr>
          <w:color w:val="auto"/>
          <w:szCs w:val="21"/>
          <w:highlight w:val="none"/>
        </w:rPr>
        <w:t>元。</w:t>
      </w:r>
    </w:p>
    <w:p>
      <w:pPr>
        <w:spacing w:line="440" w:lineRule="exact"/>
        <w:rPr>
          <w:color w:val="auto"/>
          <w:szCs w:val="21"/>
          <w:highlight w:val="none"/>
        </w:rPr>
      </w:pPr>
      <w:r>
        <w:rPr>
          <w:color w:val="auto"/>
          <w:szCs w:val="21"/>
          <w:highlight w:val="none"/>
        </w:rPr>
        <w:t>　　工期：</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日历天。</w:t>
      </w:r>
    </w:p>
    <w:p>
      <w:pPr>
        <w:spacing w:line="440" w:lineRule="exact"/>
        <w:rPr>
          <w:color w:val="auto"/>
          <w:szCs w:val="21"/>
          <w:highlight w:val="none"/>
        </w:rPr>
      </w:pPr>
      <w:r>
        <w:rPr>
          <w:color w:val="auto"/>
          <w:szCs w:val="21"/>
          <w:highlight w:val="none"/>
        </w:rPr>
        <w:t>　  项目</w:t>
      </w:r>
      <w:r>
        <w:rPr>
          <w:rFonts w:hint="eastAsia"/>
          <w:color w:val="auto"/>
          <w:szCs w:val="21"/>
          <w:highlight w:val="none"/>
        </w:rPr>
        <w:t>负责人</w:t>
      </w:r>
      <w:r>
        <w:rPr>
          <w:color w:val="auto"/>
          <w:szCs w:val="21"/>
          <w:highlight w:val="none"/>
        </w:rPr>
        <w:t>：</w:t>
      </w:r>
      <w:r>
        <w:rPr>
          <w:color w:val="auto"/>
          <w:szCs w:val="21"/>
          <w:highlight w:val="none"/>
          <w:u w:val="single"/>
        </w:rPr>
        <w:t xml:space="preserve">              </w:t>
      </w:r>
      <w:r>
        <w:rPr>
          <w:color w:val="auto"/>
          <w:szCs w:val="21"/>
          <w:highlight w:val="none"/>
        </w:rPr>
        <w:t>（姓名）。</w:t>
      </w:r>
    </w:p>
    <w:p>
      <w:pPr>
        <w:spacing w:line="440" w:lineRule="exact"/>
        <w:ind w:firstLine="420"/>
        <w:rPr>
          <w:color w:val="auto"/>
          <w:szCs w:val="21"/>
          <w:highlight w:val="none"/>
        </w:rPr>
      </w:pPr>
      <w:r>
        <w:rPr>
          <w:color w:val="auto"/>
          <w:szCs w:val="21"/>
          <w:highlight w:val="none"/>
        </w:rPr>
        <w:t>请你方在接到本通知书后的</w:t>
      </w:r>
      <w:r>
        <w:rPr>
          <w:color w:val="auto"/>
          <w:szCs w:val="21"/>
          <w:highlight w:val="none"/>
          <w:u w:val="single"/>
        </w:rPr>
        <w:t xml:space="preserve"> </w:t>
      </w:r>
      <w:r>
        <w:rPr>
          <w:rFonts w:hint="eastAsia"/>
          <w:color w:val="auto"/>
          <w:szCs w:val="21"/>
          <w:highlight w:val="none"/>
          <w:u w:val="single"/>
        </w:rPr>
        <w:t>30</w:t>
      </w:r>
      <w:r>
        <w:rPr>
          <w:color w:val="auto"/>
          <w:szCs w:val="21"/>
          <w:highlight w:val="none"/>
        </w:rPr>
        <w:t>日内到</w:t>
      </w:r>
      <w:r>
        <w:rPr>
          <w:color w:val="auto"/>
          <w:szCs w:val="21"/>
          <w:highlight w:val="none"/>
          <w:u w:val="single"/>
        </w:rPr>
        <w:t xml:space="preserve">                      </w:t>
      </w:r>
      <w:r>
        <w:rPr>
          <w:color w:val="auto"/>
          <w:szCs w:val="21"/>
          <w:highlight w:val="none"/>
        </w:rPr>
        <w:t>（指定地点）与我方签订承包合同，在此之前按</w:t>
      </w:r>
      <w:r>
        <w:rPr>
          <w:rFonts w:hint="eastAsia"/>
          <w:color w:val="auto"/>
          <w:szCs w:val="21"/>
          <w:highlight w:val="none"/>
        </w:rPr>
        <w:t>采购</w:t>
      </w:r>
      <w:r>
        <w:rPr>
          <w:color w:val="auto"/>
          <w:szCs w:val="21"/>
          <w:highlight w:val="none"/>
        </w:rPr>
        <w:t>文件第二章</w:t>
      </w:r>
      <w:r>
        <w:rPr>
          <w:rFonts w:hint="eastAsia"/>
          <w:color w:val="auto"/>
          <w:szCs w:val="21"/>
          <w:highlight w:val="none"/>
        </w:rPr>
        <w:t>“采购</w:t>
      </w:r>
      <w:r>
        <w:rPr>
          <w:color w:val="auto"/>
          <w:szCs w:val="21"/>
          <w:highlight w:val="none"/>
        </w:rPr>
        <w:t>须知</w:t>
      </w:r>
      <w:r>
        <w:rPr>
          <w:rFonts w:hint="eastAsia"/>
          <w:color w:val="auto"/>
          <w:szCs w:val="21"/>
          <w:highlight w:val="none"/>
        </w:rPr>
        <w:t>”</w:t>
      </w:r>
      <w:r>
        <w:rPr>
          <w:color w:val="auto"/>
          <w:szCs w:val="21"/>
          <w:highlight w:val="none"/>
        </w:rPr>
        <w:t>第</w:t>
      </w:r>
      <w:r>
        <w:rPr>
          <w:rFonts w:hint="eastAsia"/>
          <w:color w:val="auto"/>
          <w:szCs w:val="21"/>
          <w:highlight w:val="none"/>
        </w:rPr>
        <w:t>5.3</w:t>
      </w:r>
      <w:r>
        <w:rPr>
          <w:color w:val="auto"/>
          <w:szCs w:val="21"/>
          <w:highlight w:val="none"/>
        </w:rPr>
        <w:t>款规定向我方提交履约担保。</w:t>
      </w:r>
    </w:p>
    <w:p>
      <w:pPr>
        <w:spacing w:line="440" w:lineRule="exact"/>
        <w:ind w:firstLine="420"/>
        <w:rPr>
          <w:color w:val="auto"/>
          <w:szCs w:val="21"/>
          <w:highlight w:val="none"/>
        </w:rPr>
      </w:pPr>
      <w:r>
        <w:rPr>
          <w:rFonts w:hint="eastAsia"/>
          <w:color w:val="auto"/>
          <w:szCs w:val="21"/>
          <w:highlight w:val="none"/>
        </w:rPr>
        <w:t>随附的澄清、说明、补正事项纪要，是本成交通知书的组成部分。</w:t>
      </w:r>
    </w:p>
    <w:p>
      <w:pPr>
        <w:spacing w:line="440" w:lineRule="exact"/>
        <w:rPr>
          <w:color w:val="auto"/>
          <w:szCs w:val="21"/>
          <w:highlight w:val="none"/>
        </w:rPr>
      </w:pPr>
      <w:r>
        <w:rPr>
          <w:color w:val="auto"/>
          <w:szCs w:val="21"/>
          <w:highlight w:val="none"/>
        </w:rPr>
        <w:t>　　特此通知。</w:t>
      </w:r>
    </w:p>
    <w:p>
      <w:pPr>
        <w:spacing w:line="440" w:lineRule="exact"/>
        <w:rPr>
          <w:color w:val="auto"/>
          <w:szCs w:val="21"/>
          <w:highlight w:val="none"/>
        </w:rPr>
      </w:pPr>
    </w:p>
    <w:p>
      <w:pPr>
        <w:spacing w:line="440" w:lineRule="exact"/>
        <w:rPr>
          <w:color w:val="auto"/>
          <w:szCs w:val="21"/>
          <w:highlight w:val="none"/>
        </w:rPr>
      </w:pPr>
    </w:p>
    <w:p>
      <w:pPr>
        <w:spacing w:line="440" w:lineRule="exact"/>
        <w:ind w:firstLine="420"/>
        <w:rPr>
          <w:color w:val="auto"/>
          <w:szCs w:val="21"/>
          <w:highlight w:val="none"/>
        </w:rPr>
      </w:pPr>
    </w:p>
    <w:p>
      <w:pPr>
        <w:spacing w:line="440" w:lineRule="exact"/>
        <w:ind w:firstLine="4020" w:firstLineChars="1675"/>
        <w:rPr>
          <w:color w:val="auto"/>
          <w:szCs w:val="21"/>
          <w:highlight w:val="none"/>
        </w:rPr>
      </w:pPr>
      <w:r>
        <w:rPr>
          <w:rFonts w:hint="eastAsia"/>
          <w:color w:val="auto"/>
          <w:szCs w:val="21"/>
          <w:highlight w:val="none"/>
        </w:rPr>
        <w:t>江西省高速电建新能源有限责任公司</w:t>
      </w:r>
    </w:p>
    <w:p>
      <w:pPr>
        <w:spacing w:line="440" w:lineRule="exact"/>
        <w:ind w:firstLine="420"/>
        <w:rPr>
          <w:color w:val="auto"/>
          <w:szCs w:val="21"/>
          <w:highlight w:val="none"/>
        </w:rPr>
      </w:pPr>
      <w:r>
        <w:rPr>
          <w:rFonts w:hint="eastAsia"/>
          <w:color w:val="auto"/>
          <w:szCs w:val="21"/>
          <w:highlight w:val="none"/>
        </w:rPr>
        <w:t xml:space="preserve">                                        年    月    日</w:t>
      </w:r>
    </w:p>
    <w:p>
      <w:pPr>
        <w:spacing w:line="440" w:lineRule="exact"/>
        <w:ind w:firstLine="420"/>
        <w:rPr>
          <w:color w:val="auto"/>
          <w:szCs w:val="21"/>
          <w:highlight w:val="none"/>
        </w:rPr>
      </w:pPr>
    </w:p>
    <w:p>
      <w:pPr>
        <w:pStyle w:val="2"/>
        <w:rPr>
          <w:color w:val="auto"/>
          <w:highlight w:val="none"/>
        </w:rPr>
      </w:pPr>
    </w:p>
    <w:p>
      <w:pPr>
        <w:spacing w:line="480" w:lineRule="exact"/>
        <w:rPr>
          <w:rFonts w:ascii="宋体" w:hAnsi="宋体"/>
          <w:color w:val="auto"/>
          <w:szCs w:val="24"/>
          <w:highlight w:val="none"/>
        </w:rPr>
      </w:pPr>
    </w:p>
    <w:p>
      <w:pPr>
        <w:spacing w:line="480" w:lineRule="exact"/>
        <w:rPr>
          <w:rFonts w:ascii="宋体" w:hAnsi="宋体"/>
          <w:color w:val="auto"/>
          <w:szCs w:val="24"/>
          <w:highlight w:val="none"/>
        </w:rPr>
      </w:pPr>
    </w:p>
    <w:p>
      <w:pPr>
        <w:spacing w:line="480" w:lineRule="exact"/>
        <w:rPr>
          <w:rFonts w:ascii="宋体" w:hAnsi="宋体"/>
          <w:color w:val="auto"/>
          <w:szCs w:val="24"/>
          <w:highlight w:val="none"/>
        </w:rPr>
      </w:pPr>
    </w:p>
    <w:p>
      <w:pPr>
        <w:spacing w:line="480" w:lineRule="exact"/>
        <w:rPr>
          <w:rFonts w:ascii="宋体" w:hAnsi="宋体"/>
          <w:color w:val="auto"/>
          <w:szCs w:val="24"/>
          <w:highlight w:val="none"/>
        </w:rPr>
      </w:pPr>
    </w:p>
    <w:p>
      <w:pPr>
        <w:pStyle w:val="3"/>
        <w:spacing w:before="120" w:after="240"/>
        <w:rPr>
          <w:color w:val="auto"/>
          <w:kern w:val="44"/>
          <w:sz w:val="48"/>
          <w:szCs w:val="48"/>
          <w:highlight w:val="none"/>
        </w:rPr>
      </w:pPr>
      <w:bookmarkStart w:id="72" w:name="_Toc5960"/>
      <w:r>
        <w:rPr>
          <w:rFonts w:hint="eastAsia"/>
          <w:color w:val="auto"/>
          <w:kern w:val="44"/>
          <w:sz w:val="48"/>
          <w:szCs w:val="48"/>
          <w:highlight w:val="none"/>
        </w:rPr>
        <w:t>第三章 主要合同条款及格式</w:t>
      </w:r>
      <w:bookmarkEnd w:id="72"/>
    </w:p>
    <w:p>
      <w:pPr>
        <w:pStyle w:val="4"/>
        <w:spacing w:before="240" w:after="120" w:line="360" w:lineRule="auto"/>
        <w:rPr>
          <w:rFonts w:ascii="宋体" w:hAnsi="宋体"/>
          <w:b w:val="0"/>
          <w:color w:val="auto"/>
          <w:sz w:val="28"/>
          <w:szCs w:val="28"/>
          <w:highlight w:val="none"/>
        </w:rPr>
      </w:pPr>
      <w:bookmarkStart w:id="73" w:name="_Toc15526"/>
      <w:bookmarkStart w:id="74" w:name="_Toc419015674"/>
      <w:r>
        <w:rPr>
          <w:rFonts w:hint="eastAsia" w:ascii="宋体" w:hAnsi="宋体"/>
          <w:b w:val="0"/>
          <w:color w:val="auto"/>
          <w:sz w:val="28"/>
          <w:szCs w:val="28"/>
          <w:highlight w:val="none"/>
        </w:rPr>
        <w:t>第一节  合同条款</w:t>
      </w:r>
      <w:bookmarkEnd w:id="73"/>
      <w:bookmarkEnd w:id="74"/>
    </w:p>
    <w:p>
      <w:pPr>
        <w:pStyle w:val="4"/>
        <w:spacing w:before="240" w:after="120" w:line="360" w:lineRule="auto"/>
        <w:jc w:val="both"/>
        <w:rPr>
          <w:rFonts w:ascii="宋体" w:hAnsi="宋体"/>
          <w:b w:val="0"/>
          <w:color w:val="auto"/>
          <w:sz w:val="28"/>
          <w:szCs w:val="28"/>
          <w:highlight w:val="none"/>
        </w:rPr>
      </w:pPr>
      <w:bookmarkStart w:id="75" w:name="_Toc247085769"/>
      <w:bookmarkStart w:id="76" w:name="_Toc246996254"/>
      <w:bookmarkStart w:id="77" w:name="_Toc246996997"/>
      <w:bookmarkStart w:id="78" w:name="_Toc419015675"/>
      <w:bookmarkStart w:id="79" w:name="_Toc30215"/>
      <w:bookmarkStart w:id="80" w:name="_Toc296602499"/>
      <w:bookmarkStart w:id="81" w:name="_Toc184635098"/>
      <w:r>
        <w:rPr>
          <w:rFonts w:hint="eastAsia" w:ascii="宋体" w:hAnsi="宋体"/>
          <w:b w:val="0"/>
          <w:color w:val="auto"/>
          <w:sz w:val="28"/>
          <w:szCs w:val="28"/>
          <w:highlight w:val="none"/>
        </w:rPr>
        <w:t>1. 一般约定</w:t>
      </w:r>
      <w:bookmarkEnd w:id="75"/>
      <w:bookmarkEnd w:id="76"/>
      <w:bookmarkEnd w:id="77"/>
      <w:bookmarkEnd w:id="78"/>
      <w:bookmarkEnd w:id="79"/>
      <w:bookmarkEnd w:id="80"/>
      <w:bookmarkEnd w:id="81"/>
    </w:p>
    <w:p>
      <w:pPr>
        <w:pStyle w:val="5"/>
        <w:spacing w:before="120" w:after="120" w:line="360" w:lineRule="auto"/>
        <w:jc w:val="left"/>
        <w:rPr>
          <w:rFonts w:ascii="宋体" w:hAnsi="宋体"/>
          <w:color w:val="auto"/>
          <w:sz w:val="24"/>
          <w:szCs w:val="24"/>
          <w:highlight w:val="none"/>
        </w:rPr>
      </w:pPr>
      <w:bookmarkStart w:id="82" w:name="_Toc419015676"/>
      <w:bookmarkStart w:id="83" w:name="_Toc246996255"/>
      <w:bookmarkStart w:id="84" w:name="_Toc246996998"/>
      <w:bookmarkStart w:id="85" w:name="_Toc296602500"/>
      <w:bookmarkStart w:id="86" w:name="_Toc9698"/>
      <w:bookmarkStart w:id="87" w:name="_Toc247085770"/>
      <w:r>
        <w:rPr>
          <w:rFonts w:hint="eastAsia" w:ascii="宋体" w:hAnsi="宋体"/>
          <w:color w:val="auto"/>
          <w:sz w:val="24"/>
          <w:szCs w:val="24"/>
          <w:highlight w:val="none"/>
        </w:rPr>
        <w:t>1.1 词语定义</w:t>
      </w:r>
      <w:bookmarkEnd w:id="82"/>
      <w:bookmarkEnd w:id="83"/>
      <w:bookmarkEnd w:id="84"/>
      <w:bookmarkEnd w:id="85"/>
      <w:bookmarkEnd w:id="86"/>
      <w:bookmarkEnd w:id="8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本合同中的下列词语应具有本款所赋予的含义。</w:t>
      </w:r>
    </w:p>
    <w:p>
      <w:pPr>
        <w:spacing w:line="360" w:lineRule="auto"/>
        <w:ind w:firstLine="480" w:firstLineChars="200"/>
        <w:rPr>
          <w:rFonts w:ascii="宋体" w:hAnsi="宋体"/>
          <w:color w:val="auto"/>
          <w:szCs w:val="24"/>
          <w:highlight w:val="none"/>
        </w:rPr>
      </w:pPr>
      <w:r>
        <w:rPr>
          <w:color w:val="auto"/>
          <w:szCs w:val="24"/>
          <w:highlight w:val="none"/>
        </w:rPr>
        <w:t xml:space="preserve">1.1.1 </w:t>
      </w:r>
      <w:r>
        <w:rPr>
          <w:rFonts w:hint="eastAsia" w:ascii="宋体" w:hAnsi="宋体"/>
          <w:color w:val="auto"/>
          <w:szCs w:val="24"/>
          <w:highlight w:val="none"/>
        </w:rPr>
        <w:t>合同</w:t>
      </w:r>
    </w:p>
    <w:p>
      <w:pPr>
        <w:spacing w:line="360" w:lineRule="auto"/>
        <w:ind w:firstLine="960" w:firstLineChars="400"/>
        <w:rPr>
          <w:rFonts w:ascii="宋体" w:hAnsi="宋体"/>
          <w:color w:val="auto"/>
          <w:szCs w:val="24"/>
          <w:highlight w:val="none"/>
        </w:rPr>
      </w:pPr>
      <w:r>
        <w:rPr>
          <w:rFonts w:hint="eastAsia"/>
          <w:color w:val="auto"/>
          <w:szCs w:val="24"/>
          <w:highlight w:val="none"/>
        </w:rPr>
        <w:t>1.1.1.1</w:t>
      </w:r>
      <w:r>
        <w:rPr>
          <w:rFonts w:hint="eastAsia" w:ascii="宋体" w:hAnsi="宋体"/>
          <w:color w:val="auto"/>
          <w:szCs w:val="24"/>
          <w:highlight w:val="none"/>
        </w:rPr>
        <w:t xml:space="preserve"> 合同文件（或称合同）：指合同协议书、成交通知书、响应函、合同条款、技术标准和要求、图纸、已标价工程量清单，以及其他合同文件。</w:t>
      </w:r>
    </w:p>
    <w:p>
      <w:pPr>
        <w:spacing w:line="360" w:lineRule="auto"/>
        <w:ind w:firstLine="960" w:firstLineChars="400"/>
        <w:rPr>
          <w:rFonts w:ascii="宋体" w:hAnsi="宋体"/>
          <w:color w:val="auto"/>
          <w:szCs w:val="24"/>
          <w:highlight w:val="none"/>
        </w:rPr>
      </w:pPr>
      <w:r>
        <w:rPr>
          <w:rFonts w:hint="eastAsia"/>
          <w:color w:val="auto"/>
          <w:szCs w:val="24"/>
          <w:highlight w:val="none"/>
        </w:rPr>
        <w:t>1.1.1.2</w:t>
      </w:r>
      <w:r>
        <w:rPr>
          <w:rFonts w:hint="eastAsia" w:ascii="宋体" w:hAnsi="宋体"/>
          <w:color w:val="auto"/>
          <w:szCs w:val="24"/>
          <w:highlight w:val="none"/>
        </w:rPr>
        <w:t xml:space="preserve"> 合同协议书：指第1.5 款所指的合同协议书。</w:t>
      </w:r>
    </w:p>
    <w:p>
      <w:pPr>
        <w:spacing w:line="360" w:lineRule="auto"/>
        <w:ind w:firstLine="960" w:firstLineChars="400"/>
        <w:rPr>
          <w:rFonts w:ascii="宋体" w:hAnsi="宋体"/>
          <w:color w:val="auto"/>
          <w:szCs w:val="24"/>
          <w:highlight w:val="none"/>
        </w:rPr>
      </w:pPr>
      <w:r>
        <w:rPr>
          <w:rFonts w:hint="eastAsia"/>
          <w:color w:val="auto"/>
          <w:szCs w:val="24"/>
          <w:highlight w:val="none"/>
        </w:rPr>
        <w:t>1.1.1.3</w:t>
      </w:r>
      <w:r>
        <w:rPr>
          <w:rFonts w:hint="eastAsia" w:ascii="宋体" w:hAnsi="宋体"/>
          <w:color w:val="auto"/>
          <w:szCs w:val="24"/>
          <w:highlight w:val="none"/>
        </w:rPr>
        <w:t xml:space="preserve"> 成交通知书：指采购人通知承包商成交的函件。成交通知书随附的澄清、说明、补正事项纪要等，是成交通知书的组成部分。</w:t>
      </w:r>
    </w:p>
    <w:p>
      <w:pPr>
        <w:spacing w:line="360" w:lineRule="auto"/>
        <w:ind w:firstLine="960" w:firstLineChars="400"/>
        <w:rPr>
          <w:rFonts w:ascii="宋体" w:hAnsi="宋体"/>
          <w:color w:val="auto"/>
          <w:szCs w:val="24"/>
          <w:highlight w:val="none"/>
        </w:rPr>
      </w:pPr>
      <w:r>
        <w:rPr>
          <w:rFonts w:hint="eastAsia"/>
          <w:color w:val="auto"/>
          <w:szCs w:val="24"/>
          <w:highlight w:val="none"/>
        </w:rPr>
        <w:t>1.1.1.4</w:t>
      </w:r>
      <w:r>
        <w:rPr>
          <w:rFonts w:hint="eastAsia" w:ascii="宋体" w:hAnsi="宋体"/>
          <w:color w:val="auto"/>
          <w:szCs w:val="24"/>
          <w:highlight w:val="none"/>
        </w:rPr>
        <w:t xml:space="preserve"> 响应函：指构成合同文件组成部分的由承包商填写并签署的响应函。</w:t>
      </w:r>
    </w:p>
    <w:p>
      <w:pPr>
        <w:spacing w:line="360" w:lineRule="auto"/>
        <w:ind w:firstLine="960" w:firstLineChars="400"/>
        <w:rPr>
          <w:rFonts w:ascii="宋体" w:hAnsi="宋体"/>
          <w:color w:val="auto"/>
          <w:szCs w:val="24"/>
          <w:highlight w:val="none"/>
        </w:rPr>
      </w:pPr>
      <w:r>
        <w:rPr>
          <w:rFonts w:hint="eastAsia"/>
          <w:color w:val="auto"/>
          <w:szCs w:val="24"/>
          <w:highlight w:val="none"/>
        </w:rPr>
        <w:t>1.1.1.5</w:t>
      </w:r>
      <w:r>
        <w:rPr>
          <w:rFonts w:hint="eastAsia" w:ascii="宋体" w:hAnsi="宋体"/>
          <w:color w:val="auto"/>
          <w:szCs w:val="24"/>
          <w:highlight w:val="none"/>
        </w:rPr>
        <w:t>技术标准和要求：指构成合同文件组成部分的名为技术标准和要求的文件，以及合同双方当事人约定对其所作的修改或补充。</w:t>
      </w:r>
    </w:p>
    <w:p>
      <w:pPr>
        <w:spacing w:line="360" w:lineRule="auto"/>
        <w:ind w:firstLine="960" w:firstLineChars="400"/>
        <w:rPr>
          <w:rFonts w:ascii="宋体" w:hAnsi="宋体"/>
          <w:color w:val="auto"/>
          <w:szCs w:val="24"/>
          <w:highlight w:val="none"/>
        </w:rPr>
      </w:pPr>
      <w:r>
        <w:rPr>
          <w:rFonts w:hint="eastAsia"/>
          <w:color w:val="auto"/>
          <w:szCs w:val="24"/>
          <w:highlight w:val="none"/>
        </w:rPr>
        <w:t>1.1.1.6</w:t>
      </w:r>
      <w:r>
        <w:rPr>
          <w:rFonts w:hint="eastAsia" w:ascii="宋体" w:hAnsi="宋体"/>
          <w:color w:val="auto"/>
          <w:szCs w:val="24"/>
          <w:highlight w:val="none"/>
        </w:rPr>
        <w:t xml:space="preserve"> 图纸：指包含在合同中的工程图纸，以及由采购人按合同约定提供的任何补充和修改的图纸，包括配套的说明。</w:t>
      </w:r>
    </w:p>
    <w:p>
      <w:pPr>
        <w:spacing w:line="360" w:lineRule="auto"/>
        <w:ind w:firstLine="960" w:firstLineChars="400"/>
        <w:rPr>
          <w:rFonts w:ascii="宋体" w:hAnsi="宋体"/>
          <w:color w:val="auto"/>
          <w:szCs w:val="24"/>
          <w:highlight w:val="none"/>
        </w:rPr>
      </w:pPr>
      <w:r>
        <w:rPr>
          <w:rFonts w:hint="eastAsia"/>
          <w:color w:val="auto"/>
          <w:szCs w:val="24"/>
          <w:highlight w:val="none"/>
        </w:rPr>
        <w:t>1.1.1.7</w:t>
      </w:r>
      <w:r>
        <w:rPr>
          <w:rFonts w:hint="eastAsia" w:ascii="宋体" w:hAnsi="宋体"/>
          <w:color w:val="auto"/>
          <w:szCs w:val="24"/>
          <w:highlight w:val="none"/>
        </w:rPr>
        <w:t xml:space="preserve"> 已标价工程量清单：指构成合同文件组成部分的由承包商按照规定的格式和要求填写并标明价格的工程量清单。</w:t>
      </w:r>
    </w:p>
    <w:p>
      <w:pPr>
        <w:spacing w:line="360" w:lineRule="auto"/>
        <w:ind w:firstLine="960" w:firstLineChars="400"/>
        <w:rPr>
          <w:rFonts w:ascii="宋体" w:hAnsi="宋体"/>
          <w:color w:val="auto"/>
          <w:szCs w:val="24"/>
          <w:highlight w:val="none"/>
        </w:rPr>
      </w:pPr>
      <w:r>
        <w:rPr>
          <w:rFonts w:hint="eastAsia"/>
          <w:color w:val="auto"/>
          <w:szCs w:val="24"/>
          <w:highlight w:val="none"/>
        </w:rPr>
        <w:t>1.1.1.8</w:t>
      </w:r>
      <w:r>
        <w:rPr>
          <w:rFonts w:hint="eastAsia" w:ascii="宋体" w:hAnsi="宋体"/>
          <w:color w:val="auto"/>
          <w:szCs w:val="24"/>
          <w:highlight w:val="none"/>
        </w:rPr>
        <w:t xml:space="preserve"> 其他合同文件：指经合同双方当事人确认构成合同文件的其他文件。</w:t>
      </w:r>
    </w:p>
    <w:p>
      <w:pPr>
        <w:spacing w:line="360" w:lineRule="auto"/>
        <w:ind w:firstLine="480" w:firstLineChars="200"/>
        <w:rPr>
          <w:rFonts w:ascii="宋体" w:hAnsi="宋体"/>
          <w:color w:val="auto"/>
          <w:szCs w:val="24"/>
          <w:highlight w:val="none"/>
        </w:rPr>
      </w:pPr>
      <w:r>
        <w:rPr>
          <w:rFonts w:hint="eastAsia"/>
          <w:color w:val="auto"/>
          <w:szCs w:val="24"/>
          <w:highlight w:val="none"/>
        </w:rPr>
        <w:t>1.1.2</w:t>
      </w:r>
      <w:r>
        <w:rPr>
          <w:rFonts w:hint="eastAsia" w:ascii="宋体" w:hAnsi="宋体"/>
          <w:color w:val="auto"/>
          <w:szCs w:val="24"/>
          <w:highlight w:val="none"/>
        </w:rPr>
        <w:t xml:space="preserve"> 合同当事人和人员</w:t>
      </w:r>
    </w:p>
    <w:p>
      <w:pPr>
        <w:spacing w:line="360" w:lineRule="auto"/>
        <w:ind w:firstLine="960" w:firstLineChars="400"/>
        <w:rPr>
          <w:rFonts w:ascii="宋体" w:hAnsi="宋体"/>
          <w:color w:val="auto"/>
          <w:szCs w:val="24"/>
          <w:highlight w:val="none"/>
        </w:rPr>
      </w:pPr>
      <w:r>
        <w:rPr>
          <w:rFonts w:hint="eastAsia"/>
          <w:color w:val="auto"/>
          <w:szCs w:val="24"/>
          <w:highlight w:val="none"/>
        </w:rPr>
        <w:t>1.1.2.1</w:t>
      </w:r>
      <w:r>
        <w:rPr>
          <w:rFonts w:hint="eastAsia" w:ascii="宋体" w:hAnsi="宋体"/>
          <w:color w:val="auto"/>
          <w:szCs w:val="24"/>
          <w:highlight w:val="none"/>
        </w:rPr>
        <w:t xml:space="preserve"> 合同当事人：指采购人和（或）承包商。</w:t>
      </w:r>
    </w:p>
    <w:p>
      <w:pPr>
        <w:spacing w:line="360" w:lineRule="auto"/>
        <w:ind w:firstLine="960" w:firstLineChars="400"/>
        <w:rPr>
          <w:rFonts w:ascii="宋体" w:hAnsi="宋体"/>
          <w:color w:val="auto"/>
          <w:szCs w:val="24"/>
          <w:highlight w:val="none"/>
        </w:rPr>
      </w:pPr>
      <w:r>
        <w:rPr>
          <w:rFonts w:hint="eastAsia"/>
          <w:color w:val="auto"/>
          <w:szCs w:val="24"/>
          <w:highlight w:val="none"/>
        </w:rPr>
        <w:t>1.1.2.2</w:t>
      </w:r>
      <w:r>
        <w:rPr>
          <w:rFonts w:hint="eastAsia" w:ascii="宋体" w:hAnsi="宋体"/>
          <w:color w:val="auto"/>
          <w:szCs w:val="24"/>
          <w:highlight w:val="none"/>
        </w:rPr>
        <w:t xml:space="preserve"> 采购人：指合同条款中指明并与承包商在合同协议书中签字的当事人，本项目的采购人为江西省高速电建新能源有限责任公司。 </w:t>
      </w:r>
    </w:p>
    <w:p>
      <w:pPr>
        <w:spacing w:line="360" w:lineRule="auto"/>
        <w:ind w:firstLine="960" w:firstLineChars="400"/>
        <w:rPr>
          <w:rFonts w:ascii="宋体" w:hAnsi="宋体"/>
          <w:color w:val="auto"/>
          <w:szCs w:val="24"/>
          <w:highlight w:val="none"/>
        </w:rPr>
      </w:pPr>
      <w:r>
        <w:rPr>
          <w:rFonts w:hint="eastAsia"/>
          <w:color w:val="auto"/>
          <w:szCs w:val="24"/>
          <w:highlight w:val="none"/>
        </w:rPr>
        <w:t>1.1.2.3</w:t>
      </w:r>
      <w:r>
        <w:rPr>
          <w:rFonts w:hint="eastAsia" w:ascii="宋体" w:hAnsi="宋体"/>
          <w:color w:val="auto"/>
          <w:szCs w:val="24"/>
          <w:highlight w:val="none"/>
        </w:rPr>
        <w:t xml:space="preserve"> 承包商：指与采购人签订合同协议书的当事人。</w:t>
      </w:r>
    </w:p>
    <w:p>
      <w:pPr>
        <w:spacing w:line="360" w:lineRule="auto"/>
        <w:ind w:firstLine="960" w:firstLineChars="400"/>
        <w:rPr>
          <w:rFonts w:ascii="宋体" w:hAnsi="宋体"/>
          <w:color w:val="auto"/>
          <w:szCs w:val="24"/>
          <w:highlight w:val="none"/>
        </w:rPr>
      </w:pPr>
      <w:r>
        <w:rPr>
          <w:rFonts w:hint="eastAsia"/>
          <w:color w:val="auto"/>
          <w:szCs w:val="24"/>
          <w:highlight w:val="none"/>
        </w:rPr>
        <w:t>1.1.2.4</w:t>
      </w:r>
      <w:r>
        <w:rPr>
          <w:rFonts w:hint="eastAsia" w:ascii="宋体" w:hAnsi="宋体"/>
          <w:color w:val="auto"/>
          <w:szCs w:val="24"/>
          <w:highlight w:val="none"/>
        </w:rPr>
        <w:t xml:space="preserve"> 承包商</w:t>
      </w:r>
      <w:r>
        <w:rPr>
          <w:rFonts w:hint="eastAsia" w:ascii="宋体" w:hAnsi="宋体"/>
          <w:color w:val="auto"/>
          <w:szCs w:val="24"/>
          <w:highlight w:val="none"/>
          <w:lang w:eastAsia="zh-CN"/>
        </w:rPr>
        <w:t>施工负责人</w:t>
      </w:r>
      <w:r>
        <w:rPr>
          <w:rFonts w:hint="eastAsia" w:ascii="宋体" w:hAnsi="宋体"/>
          <w:color w:val="auto"/>
          <w:szCs w:val="24"/>
          <w:highlight w:val="none"/>
        </w:rPr>
        <w:t>：指承包商派驻施工场地的全权负责人。</w:t>
      </w:r>
    </w:p>
    <w:p>
      <w:pPr>
        <w:spacing w:line="360" w:lineRule="auto"/>
        <w:ind w:firstLine="480" w:firstLineChars="200"/>
        <w:rPr>
          <w:rFonts w:ascii="宋体" w:hAnsi="宋体"/>
          <w:color w:val="auto"/>
          <w:szCs w:val="24"/>
          <w:highlight w:val="none"/>
        </w:rPr>
      </w:pPr>
      <w:r>
        <w:rPr>
          <w:rFonts w:hint="eastAsia"/>
          <w:color w:val="auto"/>
          <w:szCs w:val="24"/>
          <w:highlight w:val="none"/>
        </w:rPr>
        <w:t>1.1.3</w:t>
      </w:r>
      <w:r>
        <w:rPr>
          <w:rFonts w:hint="eastAsia" w:ascii="宋体" w:hAnsi="宋体"/>
          <w:color w:val="auto"/>
          <w:szCs w:val="24"/>
          <w:highlight w:val="none"/>
        </w:rPr>
        <w:t xml:space="preserve"> 工程和设备</w:t>
      </w:r>
    </w:p>
    <w:p>
      <w:pPr>
        <w:spacing w:line="360" w:lineRule="auto"/>
        <w:ind w:firstLine="960" w:firstLineChars="400"/>
        <w:rPr>
          <w:rFonts w:ascii="宋体" w:hAnsi="宋体"/>
          <w:color w:val="auto"/>
          <w:szCs w:val="24"/>
          <w:highlight w:val="none"/>
        </w:rPr>
      </w:pPr>
      <w:r>
        <w:rPr>
          <w:rFonts w:hint="eastAsia"/>
          <w:color w:val="auto"/>
          <w:szCs w:val="24"/>
          <w:highlight w:val="none"/>
        </w:rPr>
        <w:t>1.1.3.1</w:t>
      </w:r>
      <w:r>
        <w:rPr>
          <w:rFonts w:hint="eastAsia" w:ascii="宋体" w:hAnsi="宋体"/>
          <w:color w:val="auto"/>
          <w:szCs w:val="24"/>
          <w:highlight w:val="none"/>
        </w:rPr>
        <w:t xml:space="preserve"> 工程：指永久工程和（或）临时工程。</w:t>
      </w:r>
    </w:p>
    <w:p>
      <w:pPr>
        <w:spacing w:line="360" w:lineRule="auto"/>
        <w:ind w:firstLine="960" w:firstLineChars="400"/>
        <w:rPr>
          <w:rFonts w:ascii="宋体" w:hAnsi="宋体"/>
          <w:color w:val="auto"/>
          <w:szCs w:val="24"/>
          <w:highlight w:val="none"/>
        </w:rPr>
      </w:pPr>
      <w:r>
        <w:rPr>
          <w:rFonts w:hint="eastAsia"/>
          <w:color w:val="auto"/>
          <w:szCs w:val="24"/>
          <w:highlight w:val="none"/>
        </w:rPr>
        <w:t>1.1.3.2</w:t>
      </w:r>
      <w:r>
        <w:rPr>
          <w:rFonts w:hint="eastAsia" w:ascii="宋体" w:hAnsi="宋体"/>
          <w:color w:val="auto"/>
          <w:szCs w:val="24"/>
          <w:highlight w:val="none"/>
        </w:rPr>
        <w:t xml:space="preserve"> 工程设备：指构成或计划构成永久工程一部分的机电设备、仪器装置、运载工具及其他类似的设备和装置。</w:t>
      </w:r>
    </w:p>
    <w:p>
      <w:pPr>
        <w:spacing w:line="360" w:lineRule="auto"/>
        <w:ind w:firstLine="960" w:firstLineChars="400"/>
        <w:rPr>
          <w:rFonts w:ascii="宋体" w:hAnsi="宋体"/>
          <w:color w:val="auto"/>
          <w:szCs w:val="24"/>
          <w:highlight w:val="none"/>
        </w:rPr>
      </w:pPr>
      <w:r>
        <w:rPr>
          <w:rFonts w:hint="eastAsia"/>
          <w:color w:val="auto"/>
          <w:szCs w:val="24"/>
          <w:highlight w:val="none"/>
        </w:rPr>
        <w:t>1.1.3.3</w:t>
      </w:r>
      <w:r>
        <w:rPr>
          <w:rFonts w:hint="eastAsia" w:ascii="宋体" w:hAnsi="宋体"/>
          <w:color w:val="auto"/>
          <w:szCs w:val="24"/>
          <w:highlight w:val="none"/>
        </w:rPr>
        <w:t xml:space="preserve"> 施工场地（或称工地、现场）：指用于合同工程施工的场所，以及在合同中指定作为施工场地组成部分的其他场所。</w:t>
      </w:r>
    </w:p>
    <w:p>
      <w:pPr>
        <w:spacing w:line="360" w:lineRule="auto"/>
        <w:ind w:firstLine="480" w:firstLineChars="200"/>
        <w:rPr>
          <w:rFonts w:ascii="宋体" w:hAnsi="宋体"/>
          <w:color w:val="auto"/>
          <w:szCs w:val="24"/>
          <w:highlight w:val="none"/>
        </w:rPr>
      </w:pPr>
      <w:r>
        <w:rPr>
          <w:rFonts w:hint="eastAsia"/>
          <w:color w:val="auto"/>
          <w:szCs w:val="24"/>
          <w:highlight w:val="none"/>
        </w:rPr>
        <w:t xml:space="preserve">1.1.4 </w:t>
      </w:r>
      <w:r>
        <w:rPr>
          <w:rFonts w:hint="eastAsia" w:ascii="宋体" w:hAnsi="宋体"/>
          <w:color w:val="auto"/>
          <w:szCs w:val="24"/>
          <w:highlight w:val="none"/>
        </w:rPr>
        <w:t>日期</w:t>
      </w:r>
    </w:p>
    <w:p>
      <w:pPr>
        <w:spacing w:line="360" w:lineRule="auto"/>
        <w:ind w:firstLine="960" w:firstLineChars="400"/>
        <w:rPr>
          <w:rFonts w:ascii="宋体" w:hAnsi="宋体"/>
          <w:color w:val="auto"/>
          <w:szCs w:val="24"/>
          <w:highlight w:val="none"/>
        </w:rPr>
      </w:pPr>
      <w:r>
        <w:rPr>
          <w:rFonts w:hint="eastAsia"/>
          <w:color w:val="auto"/>
          <w:szCs w:val="24"/>
          <w:highlight w:val="none"/>
        </w:rPr>
        <w:t>1.1.4.1</w:t>
      </w:r>
      <w:r>
        <w:rPr>
          <w:rFonts w:hint="eastAsia" w:ascii="宋体" w:hAnsi="宋体"/>
          <w:color w:val="auto"/>
          <w:szCs w:val="24"/>
          <w:highlight w:val="none"/>
        </w:rPr>
        <w:t xml:space="preserve"> 开工通知：指采购人按第4.2款通知承包商开工的函件。</w:t>
      </w:r>
    </w:p>
    <w:p>
      <w:pPr>
        <w:spacing w:line="360" w:lineRule="auto"/>
        <w:ind w:firstLine="960" w:firstLineChars="400"/>
        <w:rPr>
          <w:rFonts w:ascii="宋体" w:hAnsi="宋体"/>
          <w:color w:val="auto"/>
          <w:szCs w:val="24"/>
          <w:highlight w:val="none"/>
        </w:rPr>
      </w:pPr>
      <w:r>
        <w:rPr>
          <w:rFonts w:hint="eastAsia"/>
          <w:color w:val="auto"/>
          <w:szCs w:val="24"/>
          <w:highlight w:val="none"/>
        </w:rPr>
        <w:t>1.1.4.2</w:t>
      </w:r>
      <w:r>
        <w:rPr>
          <w:rFonts w:hint="eastAsia" w:ascii="宋体" w:hAnsi="宋体"/>
          <w:color w:val="auto"/>
          <w:szCs w:val="24"/>
          <w:highlight w:val="none"/>
        </w:rPr>
        <w:t xml:space="preserve"> 开工日期：指采购人按第4.2款发出的开工通知中写明的开工日期。</w:t>
      </w:r>
    </w:p>
    <w:p>
      <w:pPr>
        <w:spacing w:line="360" w:lineRule="auto"/>
        <w:ind w:firstLine="960" w:firstLineChars="400"/>
        <w:rPr>
          <w:rFonts w:ascii="宋体" w:hAnsi="宋体"/>
          <w:color w:val="auto"/>
          <w:szCs w:val="24"/>
          <w:highlight w:val="none"/>
        </w:rPr>
      </w:pPr>
      <w:r>
        <w:rPr>
          <w:rFonts w:hint="eastAsia"/>
          <w:color w:val="auto"/>
          <w:szCs w:val="24"/>
          <w:highlight w:val="none"/>
        </w:rPr>
        <w:t>1.1.4.3</w:t>
      </w:r>
      <w:r>
        <w:rPr>
          <w:rFonts w:hint="eastAsia" w:ascii="宋体" w:hAnsi="宋体"/>
          <w:color w:val="auto"/>
          <w:szCs w:val="24"/>
          <w:highlight w:val="none"/>
        </w:rPr>
        <w:t xml:space="preserve"> 工期：指承包商在响应函中承诺的完成合同工程所需的期限，包括按第7.1款、第7.2款约定所作的变更。</w:t>
      </w:r>
    </w:p>
    <w:p>
      <w:pPr>
        <w:spacing w:line="360" w:lineRule="auto"/>
        <w:ind w:firstLine="960" w:firstLineChars="400"/>
        <w:rPr>
          <w:rFonts w:ascii="宋体" w:hAnsi="宋体"/>
          <w:color w:val="auto"/>
          <w:szCs w:val="24"/>
          <w:highlight w:val="none"/>
        </w:rPr>
      </w:pPr>
      <w:r>
        <w:rPr>
          <w:rFonts w:hint="eastAsia"/>
          <w:color w:val="auto"/>
          <w:szCs w:val="24"/>
          <w:highlight w:val="none"/>
        </w:rPr>
        <w:t xml:space="preserve">1.1.4.4 </w:t>
      </w:r>
      <w:r>
        <w:rPr>
          <w:rFonts w:hint="eastAsia" w:ascii="宋体" w:hAnsi="宋体"/>
          <w:color w:val="auto"/>
          <w:szCs w:val="24"/>
          <w:highlight w:val="none"/>
        </w:rPr>
        <w:t>竣工日期：指第9.3款约定工期届满时的日期。实际竣工日期以工程竣工验收单中写明的日期为准。</w:t>
      </w:r>
    </w:p>
    <w:p>
      <w:pPr>
        <w:spacing w:line="360" w:lineRule="auto"/>
        <w:ind w:firstLine="960" w:firstLineChars="400"/>
        <w:rPr>
          <w:rFonts w:ascii="宋体" w:hAnsi="宋体"/>
          <w:color w:val="auto"/>
          <w:szCs w:val="24"/>
          <w:highlight w:val="none"/>
        </w:rPr>
      </w:pPr>
      <w:r>
        <w:rPr>
          <w:rFonts w:hint="eastAsia"/>
          <w:color w:val="auto"/>
          <w:szCs w:val="24"/>
          <w:highlight w:val="none"/>
        </w:rPr>
        <w:t>1.1.4.5</w:t>
      </w:r>
      <w:r>
        <w:rPr>
          <w:rFonts w:hint="eastAsia" w:ascii="宋体" w:hAnsi="宋体"/>
          <w:color w:val="auto"/>
          <w:szCs w:val="24"/>
          <w:highlight w:val="none"/>
        </w:rPr>
        <w:t xml:space="preserve"> 质量保证期：指履行第10.1款约定的质量保证的期限。</w:t>
      </w:r>
    </w:p>
    <w:p>
      <w:pPr>
        <w:spacing w:line="360" w:lineRule="auto"/>
        <w:ind w:firstLine="960" w:firstLineChars="400"/>
        <w:rPr>
          <w:rFonts w:ascii="宋体" w:hAnsi="宋体"/>
          <w:color w:val="auto"/>
          <w:szCs w:val="24"/>
          <w:highlight w:val="none"/>
        </w:rPr>
      </w:pPr>
      <w:r>
        <w:rPr>
          <w:rFonts w:hint="eastAsia"/>
          <w:color w:val="auto"/>
          <w:szCs w:val="24"/>
          <w:highlight w:val="none"/>
        </w:rPr>
        <w:t xml:space="preserve">1.1.4.6 </w:t>
      </w:r>
      <w:r>
        <w:rPr>
          <w:rFonts w:hint="eastAsia" w:ascii="宋体" w:hAnsi="宋体"/>
          <w:color w:val="auto"/>
          <w:szCs w:val="24"/>
          <w:highlight w:val="none"/>
        </w:rPr>
        <w:t>日：除特别指明外，指日历天。合同中按天计算时间的，开始当天不计入，从次日开始计算。期限最后一天的截止时间为当天24:00。</w:t>
      </w:r>
    </w:p>
    <w:p>
      <w:pPr>
        <w:spacing w:line="360" w:lineRule="auto"/>
        <w:ind w:firstLine="480" w:firstLineChars="200"/>
        <w:rPr>
          <w:rFonts w:ascii="宋体" w:hAnsi="宋体"/>
          <w:color w:val="auto"/>
          <w:szCs w:val="24"/>
          <w:highlight w:val="none"/>
        </w:rPr>
      </w:pPr>
      <w:r>
        <w:rPr>
          <w:rFonts w:hint="eastAsia"/>
          <w:color w:val="auto"/>
          <w:szCs w:val="24"/>
          <w:highlight w:val="none"/>
        </w:rPr>
        <w:t>1.1.5</w:t>
      </w:r>
      <w:r>
        <w:rPr>
          <w:rFonts w:hint="eastAsia" w:ascii="宋体" w:hAnsi="宋体"/>
          <w:color w:val="auto"/>
          <w:szCs w:val="24"/>
          <w:highlight w:val="none"/>
        </w:rPr>
        <w:t xml:space="preserve"> 合同价格和费用</w:t>
      </w:r>
    </w:p>
    <w:p>
      <w:pPr>
        <w:spacing w:line="360" w:lineRule="auto"/>
        <w:ind w:firstLine="960" w:firstLineChars="400"/>
        <w:rPr>
          <w:rFonts w:ascii="宋体" w:hAnsi="宋体"/>
          <w:color w:val="auto"/>
          <w:szCs w:val="24"/>
          <w:highlight w:val="none"/>
        </w:rPr>
      </w:pPr>
      <w:r>
        <w:rPr>
          <w:rFonts w:hint="eastAsia"/>
          <w:color w:val="auto"/>
          <w:szCs w:val="24"/>
          <w:highlight w:val="none"/>
        </w:rPr>
        <w:t>1.1.5.1</w:t>
      </w:r>
      <w:r>
        <w:rPr>
          <w:rFonts w:hint="eastAsia" w:ascii="宋体" w:hAnsi="宋体"/>
          <w:color w:val="auto"/>
          <w:szCs w:val="24"/>
          <w:highlight w:val="none"/>
        </w:rPr>
        <w:t xml:space="preserve"> 签约合同价：指签定合同时合同协议书中写明的合同总金额。</w:t>
      </w:r>
    </w:p>
    <w:p>
      <w:pPr>
        <w:spacing w:line="360" w:lineRule="auto"/>
        <w:ind w:firstLine="960" w:firstLineChars="400"/>
        <w:rPr>
          <w:rFonts w:ascii="宋体" w:hAnsi="宋体"/>
          <w:color w:val="auto"/>
          <w:szCs w:val="24"/>
          <w:highlight w:val="none"/>
        </w:rPr>
      </w:pPr>
      <w:r>
        <w:rPr>
          <w:rFonts w:hint="eastAsia"/>
          <w:color w:val="auto"/>
          <w:szCs w:val="24"/>
          <w:highlight w:val="none"/>
        </w:rPr>
        <w:t>1.1.5.2</w:t>
      </w:r>
      <w:r>
        <w:rPr>
          <w:rFonts w:hint="eastAsia" w:ascii="宋体" w:hAnsi="宋体"/>
          <w:color w:val="auto"/>
          <w:szCs w:val="24"/>
          <w:highlight w:val="none"/>
        </w:rPr>
        <w:t xml:space="preserve"> 合同价格：指承包商按合同约定完成了包括质量保证期内的全部承包工作后，采购人应付给承包商的金额，包括在履行合同过程中按合同约定进行的变更和调整。</w:t>
      </w:r>
    </w:p>
    <w:p>
      <w:pPr>
        <w:spacing w:line="360" w:lineRule="auto"/>
        <w:ind w:firstLine="960" w:firstLineChars="400"/>
        <w:rPr>
          <w:rFonts w:ascii="宋体" w:hAnsi="宋体"/>
          <w:color w:val="auto"/>
          <w:szCs w:val="24"/>
          <w:highlight w:val="none"/>
        </w:rPr>
      </w:pPr>
      <w:r>
        <w:rPr>
          <w:rFonts w:hint="eastAsia"/>
          <w:color w:val="auto"/>
          <w:szCs w:val="24"/>
          <w:highlight w:val="none"/>
        </w:rPr>
        <w:t>1.1.5.3</w:t>
      </w:r>
      <w:r>
        <w:rPr>
          <w:rFonts w:hint="eastAsia" w:ascii="宋体" w:hAnsi="宋体"/>
          <w:color w:val="auto"/>
          <w:szCs w:val="24"/>
          <w:highlight w:val="none"/>
        </w:rPr>
        <w:t xml:space="preserve"> 质量保证金（或称保留金）：指按本章第8.3款约定用于保证在质量保证期内履行质量保证义务的金额。</w:t>
      </w:r>
    </w:p>
    <w:p>
      <w:pPr>
        <w:spacing w:line="360" w:lineRule="auto"/>
        <w:ind w:firstLine="480" w:firstLineChars="200"/>
        <w:rPr>
          <w:rFonts w:ascii="宋体" w:hAnsi="宋体"/>
          <w:color w:val="auto"/>
          <w:szCs w:val="24"/>
          <w:highlight w:val="none"/>
        </w:rPr>
      </w:pPr>
      <w:r>
        <w:rPr>
          <w:rFonts w:hint="eastAsia"/>
          <w:color w:val="auto"/>
          <w:szCs w:val="24"/>
          <w:highlight w:val="none"/>
        </w:rPr>
        <w:t>1.1.6</w:t>
      </w:r>
      <w:r>
        <w:rPr>
          <w:rFonts w:hint="eastAsia" w:ascii="宋体" w:hAnsi="宋体"/>
          <w:color w:val="auto"/>
          <w:szCs w:val="24"/>
          <w:highlight w:val="none"/>
        </w:rPr>
        <w:t xml:space="preserve"> 其他</w:t>
      </w:r>
    </w:p>
    <w:p>
      <w:pPr>
        <w:spacing w:line="360" w:lineRule="auto"/>
        <w:ind w:firstLine="960" w:firstLineChars="400"/>
        <w:rPr>
          <w:rFonts w:ascii="宋体" w:hAnsi="宋体"/>
          <w:color w:val="auto"/>
          <w:szCs w:val="24"/>
          <w:highlight w:val="none"/>
        </w:rPr>
      </w:pPr>
      <w:r>
        <w:rPr>
          <w:rFonts w:hint="eastAsia"/>
          <w:color w:val="auto"/>
          <w:szCs w:val="24"/>
          <w:highlight w:val="none"/>
        </w:rPr>
        <w:t>1.1.6.1</w:t>
      </w:r>
      <w:r>
        <w:rPr>
          <w:rFonts w:hint="eastAsia" w:ascii="宋体" w:hAnsi="宋体"/>
          <w:color w:val="auto"/>
          <w:szCs w:val="24"/>
          <w:highlight w:val="none"/>
        </w:rPr>
        <w:t xml:space="preserve"> 书面形式：指合同文件、信函、电报、传真、电子数据交换和电子邮件等可以有形地表现所载内容的形式。</w:t>
      </w:r>
    </w:p>
    <w:p>
      <w:pPr>
        <w:pStyle w:val="5"/>
        <w:spacing w:before="120" w:after="120" w:line="360" w:lineRule="auto"/>
        <w:jc w:val="left"/>
        <w:rPr>
          <w:rFonts w:ascii="宋体" w:hAnsi="宋体"/>
          <w:color w:val="auto"/>
          <w:sz w:val="24"/>
          <w:szCs w:val="24"/>
          <w:highlight w:val="none"/>
        </w:rPr>
      </w:pPr>
      <w:bookmarkStart w:id="88" w:name="_Toc296602501"/>
      <w:bookmarkStart w:id="89" w:name="_Toc247085771"/>
      <w:bookmarkStart w:id="90" w:name="_Toc14601"/>
      <w:bookmarkStart w:id="91" w:name="_Toc246996999"/>
      <w:bookmarkStart w:id="92" w:name="_Toc419015677"/>
      <w:bookmarkStart w:id="93" w:name="_Toc246996256"/>
      <w:r>
        <w:rPr>
          <w:rFonts w:hint="eastAsia" w:ascii="宋体" w:hAnsi="宋体"/>
          <w:color w:val="auto"/>
          <w:sz w:val="24"/>
          <w:szCs w:val="24"/>
          <w:highlight w:val="none"/>
        </w:rPr>
        <w:t>1.2 语言文字</w:t>
      </w:r>
      <w:bookmarkEnd w:id="88"/>
      <w:bookmarkEnd w:id="89"/>
      <w:bookmarkEnd w:id="90"/>
      <w:bookmarkEnd w:id="91"/>
      <w:bookmarkEnd w:id="92"/>
      <w:bookmarkEnd w:id="93"/>
    </w:p>
    <w:p>
      <w:pPr>
        <w:spacing w:line="360" w:lineRule="auto"/>
        <w:ind w:firstLine="480" w:firstLineChars="200"/>
        <w:rPr>
          <w:rFonts w:ascii="宋体" w:hAnsi="宋体"/>
          <w:color w:val="auto"/>
          <w:szCs w:val="24"/>
          <w:highlight w:val="none"/>
        </w:rPr>
      </w:pPr>
      <w:bookmarkStart w:id="94" w:name="_Toc246996257"/>
      <w:bookmarkStart w:id="95" w:name="_Toc246997000"/>
      <w:bookmarkStart w:id="96" w:name="_Toc247085772"/>
      <w:r>
        <w:rPr>
          <w:rFonts w:hint="eastAsia" w:ascii="宋体" w:hAnsi="宋体"/>
          <w:color w:val="auto"/>
          <w:szCs w:val="24"/>
          <w:highlight w:val="none"/>
        </w:rPr>
        <w:t>合同使用的语言文字为中文。专用术语使用外文的，应附有中文注释。</w:t>
      </w:r>
    </w:p>
    <w:p>
      <w:pPr>
        <w:pStyle w:val="5"/>
        <w:spacing w:before="120" w:after="120" w:line="360" w:lineRule="auto"/>
        <w:jc w:val="left"/>
        <w:rPr>
          <w:rFonts w:ascii="宋体" w:hAnsi="宋体"/>
          <w:color w:val="auto"/>
          <w:sz w:val="24"/>
          <w:szCs w:val="24"/>
          <w:highlight w:val="none"/>
        </w:rPr>
      </w:pPr>
      <w:bookmarkStart w:id="97" w:name="_Toc13153"/>
      <w:bookmarkStart w:id="98" w:name="_Toc296602502"/>
      <w:bookmarkStart w:id="99" w:name="_Toc419015678"/>
      <w:r>
        <w:rPr>
          <w:rFonts w:hint="eastAsia" w:ascii="宋体" w:hAnsi="宋体"/>
          <w:color w:val="auto"/>
          <w:sz w:val="24"/>
          <w:szCs w:val="24"/>
          <w:highlight w:val="none"/>
        </w:rPr>
        <w:t>1.3 法律</w:t>
      </w:r>
      <w:bookmarkEnd w:id="94"/>
      <w:bookmarkEnd w:id="95"/>
      <w:bookmarkEnd w:id="96"/>
      <w:bookmarkEnd w:id="97"/>
      <w:bookmarkEnd w:id="98"/>
      <w:bookmarkEnd w:id="9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适用于合同的法律包括中华人民共和国法律、行政法规、部门规章，以及工程所在地的地方法规、自治条例、单行条例和地方政府规章。</w:t>
      </w:r>
    </w:p>
    <w:p>
      <w:pPr>
        <w:pStyle w:val="5"/>
        <w:spacing w:before="120" w:after="120" w:line="360" w:lineRule="auto"/>
        <w:jc w:val="left"/>
        <w:rPr>
          <w:rFonts w:ascii="宋体" w:hAnsi="宋体"/>
          <w:color w:val="auto"/>
          <w:sz w:val="24"/>
          <w:szCs w:val="24"/>
          <w:highlight w:val="none"/>
        </w:rPr>
      </w:pPr>
      <w:bookmarkStart w:id="100" w:name="_Toc419015679"/>
      <w:bookmarkStart w:id="101" w:name="_Toc246996258"/>
      <w:bookmarkStart w:id="102" w:name="_Toc5409"/>
      <w:bookmarkStart w:id="103" w:name="_Toc246997001"/>
      <w:bookmarkStart w:id="104" w:name="_Toc247085773"/>
      <w:bookmarkStart w:id="105" w:name="_Toc296602503"/>
      <w:r>
        <w:rPr>
          <w:rFonts w:hint="eastAsia" w:ascii="宋体" w:hAnsi="宋体"/>
          <w:color w:val="auto"/>
          <w:sz w:val="24"/>
          <w:szCs w:val="24"/>
          <w:highlight w:val="none"/>
        </w:rPr>
        <w:t>1.4 合同文件的优先顺序</w:t>
      </w:r>
      <w:bookmarkEnd w:id="100"/>
      <w:bookmarkEnd w:id="101"/>
      <w:bookmarkEnd w:id="102"/>
      <w:bookmarkEnd w:id="103"/>
      <w:bookmarkEnd w:id="104"/>
      <w:bookmarkEnd w:id="10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组成合同的各项文件应互相解释，互为说明。解释合同文件的优先顺序如下：</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（1）合同协议书及各种合同附件（含采购期间和合同谈判过程中的澄清文件和补充资料）；</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（2）成交通知书；</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（3）响应文件；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（4）合同条款（含采购文件补遗书中与此有关的部分）；</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（5）技术标准和要求；</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（6）已标价工程量清单；</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（7）承包商有关人员、机械、设备投入的承诺及响应文件中的技术方案等。</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（8）其他合同文件。合同履行中，采购人与承包商对有关工程的的商洽、变更等书面协议或文件或合同执行中形成的双方认可的会议纪要视为本合同的组成部分。</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当合同文件内容含糊不清或不一致时，在不影响工程正常进行的情况下，由采购人、承包商协商解决。</w:t>
      </w:r>
    </w:p>
    <w:p>
      <w:pPr>
        <w:pStyle w:val="5"/>
        <w:spacing w:before="120" w:after="120" w:line="360" w:lineRule="auto"/>
        <w:jc w:val="left"/>
        <w:rPr>
          <w:rFonts w:ascii="宋体" w:hAnsi="宋体"/>
          <w:color w:val="auto"/>
          <w:sz w:val="24"/>
          <w:szCs w:val="24"/>
          <w:highlight w:val="none"/>
        </w:rPr>
      </w:pPr>
      <w:bookmarkStart w:id="106" w:name="_Toc246997002"/>
      <w:bookmarkStart w:id="107" w:name="_Toc246996259"/>
      <w:bookmarkStart w:id="108" w:name="_Toc247085774"/>
      <w:bookmarkStart w:id="109" w:name="_Toc419015680"/>
      <w:bookmarkStart w:id="110" w:name="_Toc296602504"/>
      <w:bookmarkStart w:id="111" w:name="_Toc30968"/>
      <w:r>
        <w:rPr>
          <w:rFonts w:hint="eastAsia" w:ascii="宋体" w:hAnsi="宋体"/>
          <w:color w:val="auto"/>
          <w:sz w:val="24"/>
          <w:szCs w:val="24"/>
          <w:highlight w:val="none"/>
        </w:rPr>
        <w:t>1.5 合同协议书</w:t>
      </w:r>
      <w:bookmarkEnd w:id="106"/>
      <w:bookmarkEnd w:id="107"/>
      <w:bookmarkEnd w:id="108"/>
      <w:bookmarkEnd w:id="109"/>
      <w:bookmarkEnd w:id="110"/>
      <w:bookmarkEnd w:id="111"/>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承包商按成交通知书规定的时间与采购人签订合同协议书。采购人和承包商的法定代表人或其委托代理人在合同协议书上签字并盖单位章后，合同生效。</w:t>
      </w:r>
    </w:p>
    <w:p>
      <w:pPr>
        <w:pStyle w:val="5"/>
        <w:spacing w:before="120" w:after="120" w:line="360" w:lineRule="auto"/>
        <w:jc w:val="left"/>
        <w:rPr>
          <w:rFonts w:ascii="宋体" w:hAnsi="宋体"/>
          <w:color w:val="auto"/>
          <w:sz w:val="24"/>
          <w:szCs w:val="24"/>
          <w:highlight w:val="none"/>
        </w:rPr>
      </w:pPr>
      <w:bookmarkStart w:id="112" w:name="_Toc246997003"/>
      <w:bookmarkStart w:id="113" w:name="_Toc419015681"/>
      <w:bookmarkStart w:id="114" w:name="_Toc296602505"/>
      <w:bookmarkStart w:id="115" w:name="_Toc247085775"/>
      <w:bookmarkStart w:id="116" w:name="_Toc246996260"/>
      <w:bookmarkStart w:id="117" w:name="_Toc32732"/>
      <w:r>
        <w:rPr>
          <w:rFonts w:hint="eastAsia" w:ascii="宋体" w:hAnsi="宋体"/>
          <w:color w:val="auto"/>
          <w:sz w:val="24"/>
          <w:szCs w:val="24"/>
          <w:highlight w:val="none"/>
        </w:rPr>
        <w:t xml:space="preserve">1.6 </w:t>
      </w:r>
      <w:bookmarkEnd w:id="112"/>
      <w:bookmarkEnd w:id="113"/>
      <w:bookmarkEnd w:id="114"/>
      <w:bookmarkEnd w:id="115"/>
      <w:bookmarkEnd w:id="116"/>
      <w:r>
        <w:rPr>
          <w:rFonts w:hint="eastAsia" w:ascii="宋体" w:hAnsi="宋体"/>
          <w:color w:val="auto"/>
          <w:sz w:val="24"/>
          <w:szCs w:val="24"/>
          <w:highlight w:val="none"/>
        </w:rPr>
        <w:t>承包商提供的文件</w:t>
      </w:r>
      <w:bookmarkEnd w:id="11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承包商应免费向采购人提交采购文件要求的有资质的设计单位设计的图纸。采购人在收到由承包商提交的设计图纸后</w:t>
      </w:r>
      <w:r>
        <w:rPr>
          <w:rFonts w:hint="eastAsia" w:ascii="宋体" w:hAnsi="宋体"/>
          <w:color w:val="auto"/>
          <w:szCs w:val="24"/>
          <w:highlight w:val="none"/>
          <w:lang w:val="en-US" w:eastAsia="zh-CN"/>
        </w:rPr>
        <w:t>5</w:t>
      </w:r>
      <w:r>
        <w:rPr>
          <w:rFonts w:hint="eastAsia" w:ascii="宋体" w:hAnsi="宋体"/>
          <w:color w:val="auto"/>
          <w:szCs w:val="24"/>
          <w:highlight w:val="none"/>
        </w:rPr>
        <w:t>天内应予批准或提出修改要求，承包商应按采购人提出的要求做出修改，重新向采购人提交，采购人应在3天内批准或提出进一步的修改意见。</w:t>
      </w:r>
    </w:p>
    <w:p>
      <w:pPr>
        <w:pStyle w:val="5"/>
        <w:spacing w:before="120" w:after="120" w:line="360" w:lineRule="auto"/>
        <w:jc w:val="left"/>
        <w:rPr>
          <w:rFonts w:ascii="宋体" w:hAnsi="宋体"/>
          <w:color w:val="auto"/>
          <w:sz w:val="24"/>
          <w:szCs w:val="24"/>
          <w:highlight w:val="none"/>
        </w:rPr>
      </w:pPr>
      <w:bookmarkStart w:id="118" w:name="_Toc246997004"/>
      <w:bookmarkStart w:id="119" w:name="_Toc10982"/>
      <w:bookmarkStart w:id="120" w:name="_Toc296602506"/>
      <w:bookmarkStart w:id="121" w:name="_Toc247085776"/>
      <w:bookmarkStart w:id="122" w:name="_Toc246996261"/>
      <w:bookmarkStart w:id="123" w:name="_Toc419015682"/>
      <w:r>
        <w:rPr>
          <w:rFonts w:hint="eastAsia" w:ascii="宋体" w:hAnsi="宋体"/>
          <w:color w:val="auto"/>
          <w:sz w:val="24"/>
          <w:szCs w:val="24"/>
          <w:highlight w:val="none"/>
        </w:rPr>
        <w:t>1.7 联络</w:t>
      </w:r>
      <w:bookmarkEnd w:id="118"/>
      <w:bookmarkEnd w:id="119"/>
      <w:bookmarkEnd w:id="120"/>
      <w:bookmarkEnd w:id="121"/>
      <w:bookmarkEnd w:id="122"/>
      <w:bookmarkEnd w:id="12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与合同有关的通知、批准、证明、证书、指示、要求、请求、同意、意见、确定和决定等重要文件，均应采用书面形式。</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按合同约定应当由采购人审核、批准、确认或者提出修改意见的承包商的要求、请求、申请和报批等，采购人在合同约定的期限内未回复的，视同认可，合同中未明确约定回复期限的，其相应期限均为收到相关文件后7日。</w:t>
      </w:r>
    </w:p>
    <w:p>
      <w:pPr>
        <w:pStyle w:val="4"/>
        <w:spacing w:before="240" w:after="120" w:line="360" w:lineRule="auto"/>
        <w:jc w:val="both"/>
        <w:rPr>
          <w:rFonts w:ascii="宋体" w:hAnsi="宋体"/>
          <w:b w:val="0"/>
          <w:color w:val="auto"/>
          <w:sz w:val="28"/>
          <w:szCs w:val="28"/>
          <w:highlight w:val="none"/>
        </w:rPr>
      </w:pPr>
      <w:bookmarkStart w:id="124" w:name="_Toc419015683"/>
      <w:bookmarkStart w:id="125" w:name="_Toc246996263"/>
      <w:bookmarkStart w:id="126" w:name="_Toc247085778"/>
      <w:bookmarkStart w:id="127" w:name="_Toc9687"/>
      <w:bookmarkStart w:id="128" w:name="_Toc184635099"/>
      <w:bookmarkStart w:id="129" w:name="_Toc246997006"/>
      <w:bookmarkStart w:id="130" w:name="_Toc296602507"/>
      <w:r>
        <w:rPr>
          <w:rFonts w:hint="eastAsia" w:ascii="宋体" w:hAnsi="宋体"/>
          <w:b w:val="0"/>
          <w:color w:val="auto"/>
          <w:sz w:val="28"/>
          <w:szCs w:val="28"/>
          <w:highlight w:val="none"/>
        </w:rPr>
        <w:t>2. 采购人义务</w:t>
      </w:r>
      <w:bookmarkEnd w:id="124"/>
      <w:bookmarkEnd w:id="125"/>
      <w:bookmarkEnd w:id="126"/>
      <w:bookmarkEnd w:id="127"/>
      <w:bookmarkEnd w:id="128"/>
      <w:bookmarkEnd w:id="129"/>
      <w:bookmarkEnd w:id="130"/>
    </w:p>
    <w:p>
      <w:pPr>
        <w:pStyle w:val="5"/>
        <w:spacing w:before="120" w:after="120" w:line="360" w:lineRule="auto"/>
        <w:jc w:val="left"/>
        <w:rPr>
          <w:rFonts w:ascii="宋体" w:hAnsi="宋体"/>
          <w:color w:val="auto"/>
          <w:sz w:val="24"/>
          <w:szCs w:val="24"/>
          <w:highlight w:val="none"/>
        </w:rPr>
      </w:pPr>
      <w:bookmarkStart w:id="131" w:name="_Toc20290"/>
      <w:bookmarkStart w:id="132" w:name="_Toc296602508"/>
      <w:bookmarkStart w:id="133" w:name="_Toc246997007"/>
      <w:bookmarkStart w:id="134" w:name="_Toc247085779"/>
      <w:bookmarkStart w:id="135" w:name="_Toc246996264"/>
      <w:bookmarkStart w:id="136" w:name="_Toc419015684"/>
      <w:r>
        <w:rPr>
          <w:rFonts w:hint="eastAsia" w:ascii="宋体" w:hAnsi="宋体"/>
          <w:color w:val="auto"/>
          <w:sz w:val="24"/>
          <w:szCs w:val="24"/>
          <w:highlight w:val="none"/>
        </w:rPr>
        <w:t>2.1 遵守法律</w:t>
      </w:r>
      <w:bookmarkEnd w:id="131"/>
      <w:bookmarkEnd w:id="132"/>
      <w:bookmarkEnd w:id="133"/>
      <w:bookmarkEnd w:id="134"/>
      <w:bookmarkEnd w:id="135"/>
      <w:bookmarkEnd w:id="13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采购人在履行合同过程中应遵守法律，并保证承包商免于承担因采购人违反法律而引起的任何责任。</w:t>
      </w:r>
    </w:p>
    <w:p>
      <w:pPr>
        <w:pStyle w:val="5"/>
        <w:spacing w:before="120" w:after="120" w:line="360" w:lineRule="auto"/>
        <w:jc w:val="left"/>
        <w:rPr>
          <w:rFonts w:ascii="宋体" w:hAnsi="宋体"/>
          <w:color w:val="auto"/>
          <w:sz w:val="24"/>
          <w:szCs w:val="24"/>
          <w:highlight w:val="none"/>
        </w:rPr>
      </w:pPr>
      <w:bookmarkStart w:id="137" w:name="_Toc246997008"/>
      <w:bookmarkStart w:id="138" w:name="_Toc419015685"/>
      <w:bookmarkStart w:id="139" w:name="_Toc246996265"/>
      <w:bookmarkStart w:id="140" w:name="_Toc247085780"/>
      <w:bookmarkStart w:id="141" w:name="_Toc6392"/>
      <w:bookmarkStart w:id="142" w:name="_Toc296602509"/>
      <w:r>
        <w:rPr>
          <w:rFonts w:hint="eastAsia" w:ascii="宋体" w:hAnsi="宋体"/>
          <w:color w:val="auto"/>
          <w:sz w:val="24"/>
          <w:szCs w:val="24"/>
          <w:highlight w:val="none"/>
        </w:rPr>
        <w:t>2.2 发出开工通知</w:t>
      </w:r>
      <w:bookmarkEnd w:id="137"/>
      <w:bookmarkEnd w:id="138"/>
      <w:bookmarkEnd w:id="139"/>
      <w:bookmarkEnd w:id="140"/>
      <w:bookmarkEnd w:id="141"/>
      <w:bookmarkEnd w:id="14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采购人按第4.2 款的约定向承包商发出开工通知。</w:t>
      </w:r>
    </w:p>
    <w:p>
      <w:pPr>
        <w:pStyle w:val="5"/>
        <w:spacing w:before="120" w:after="120" w:line="360" w:lineRule="auto"/>
        <w:jc w:val="left"/>
        <w:rPr>
          <w:rFonts w:ascii="宋体" w:hAnsi="宋体"/>
          <w:color w:val="auto"/>
          <w:sz w:val="24"/>
          <w:szCs w:val="24"/>
          <w:highlight w:val="none"/>
        </w:rPr>
      </w:pPr>
      <w:bookmarkStart w:id="143" w:name="_Toc246996266"/>
      <w:bookmarkStart w:id="144" w:name="_Toc27615"/>
      <w:bookmarkStart w:id="145" w:name="_Toc246997009"/>
      <w:bookmarkStart w:id="146" w:name="_Toc296602510"/>
      <w:bookmarkStart w:id="147" w:name="_Toc247085781"/>
      <w:bookmarkStart w:id="148" w:name="_Toc419015686"/>
      <w:r>
        <w:rPr>
          <w:rFonts w:hint="eastAsia" w:ascii="宋体" w:hAnsi="宋体"/>
          <w:color w:val="auto"/>
          <w:sz w:val="24"/>
          <w:szCs w:val="24"/>
          <w:highlight w:val="none"/>
        </w:rPr>
        <w:t>2.3 提供施工场地</w:t>
      </w:r>
      <w:bookmarkEnd w:id="143"/>
      <w:bookmarkEnd w:id="144"/>
      <w:bookmarkEnd w:id="145"/>
      <w:bookmarkEnd w:id="146"/>
      <w:bookmarkEnd w:id="147"/>
      <w:bookmarkEnd w:id="14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采购人应向承包商提供施工场地并配合承包商对施工场地内的各种管线进行详细的调查核实，承包商在没有做好调查核实工作前不得进行开挖作业。</w:t>
      </w:r>
    </w:p>
    <w:p>
      <w:pPr>
        <w:pStyle w:val="5"/>
        <w:spacing w:before="120" w:after="120" w:line="360" w:lineRule="auto"/>
        <w:jc w:val="left"/>
        <w:rPr>
          <w:rFonts w:ascii="宋体" w:hAnsi="宋体"/>
          <w:color w:val="auto"/>
          <w:sz w:val="24"/>
          <w:szCs w:val="24"/>
          <w:highlight w:val="none"/>
        </w:rPr>
      </w:pPr>
      <w:bookmarkStart w:id="149" w:name="_Toc419015687"/>
      <w:bookmarkStart w:id="150" w:name="_Toc246996267"/>
      <w:bookmarkStart w:id="151" w:name="_Toc246997010"/>
      <w:bookmarkStart w:id="152" w:name="_Toc7488"/>
      <w:bookmarkStart w:id="153" w:name="_Toc296602511"/>
      <w:bookmarkStart w:id="154" w:name="_Toc247085782"/>
      <w:r>
        <w:rPr>
          <w:rFonts w:hint="eastAsia" w:ascii="宋体" w:hAnsi="宋体"/>
          <w:color w:val="auto"/>
          <w:sz w:val="24"/>
          <w:szCs w:val="24"/>
          <w:highlight w:val="none"/>
        </w:rPr>
        <w:t>2.4 协助承包商办理证件和批件</w:t>
      </w:r>
      <w:bookmarkEnd w:id="149"/>
      <w:bookmarkEnd w:id="150"/>
      <w:bookmarkEnd w:id="151"/>
      <w:bookmarkEnd w:id="152"/>
      <w:bookmarkEnd w:id="153"/>
      <w:bookmarkEnd w:id="15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采购人协助承包商办理法律规定的有关施工证件和批件。</w:t>
      </w:r>
    </w:p>
    <w:p>
      <w:pPr>
        <w:pStyle w:val="5"/>
        <w:spacing w:before="120" w:after="120" w:line="360" w:lineRule="auto"/>
        <w:jc w:val="left"/>
        <w:rPr>
          <w:rFonts w:ascii="宋体" w:hAnsi="宋体"/>
          <w:color w:val="auto"/>
          <w:sz w:val="24"/>
          <w:szCs w:val="24"/>
          <w:highlight w:val="none"/>
        </w:rPr>
      </w:pPr>
      <w:bookmarkStart w:id="155" w:name="_Toc247085784"/>
      <w:bookmarkStart w:id="156" w:name="_Toc296602513"/>
      <w:bookmarkStart w:id="157" w:name="_Toc246997012"/>
      <w:bookmarkStart w:id="158" w:name="_Toc7245"/>
      <w:bookmarkStart w:id="159" w:name="_Toc246996269"/>
      <w:bookmarkStart w:id="160" w:name="_Toc419015688"/>
      <w:r>
        <w:rPr>
          <w:rFonts w:hint="eastAsia" w:ascii="宋体" w:hAnsi="宋体"/>
          <w:color w:val="auto"/>
          <w:sz w:val="24"/>
          <w:szCs w:val="24"/>
          <w:highlight w:val="none"/>
        </w:rPr>
        <w:t>2.5 支付合同价款</w:t>
      </w:r>
      <w:bookmarkEnd w:id="155"/>
      <w:bookmarkEnd w:id="156"/>
      <w:bookmarkEnd w:id="157"/>
      <w:bookmarkEnd w:id="158"/>
      <w:bookmarkEnd w:id="159"/>
      <w:bookmarkEnd w:id="160"/>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采购人应按合同约定向承包商及时支付合同价款。</w:t>
      </w:r>
    </w:p>
    <w:p>
      <w:pPr>
        <w:pStyle w:val="5"/>
        <w:spacing w:before="120" w:after="120" w:line="360" w:lineRule="auto"/>
        <w:jc w:val="left"/>
        <w:rPr>
          <w:rFonts w:ascii="宋体" w:hAnsi="宋体"/>
          <w:color w:val="auto"/>
          <w:sz w:val="24"/>
          <w:szCs w:val="24"/>
          <w:highlight w:val="none"/>
        </w:rPr>
      </w:pPr>
      <w:bookmarkStart w:id="161" w:name="_Toc296602514"/>
      <w:bookmarkStart w:id="162" w:name="_Toc29001"/>
      <w:bookmarkStart w:id="163" w:name="_Toc247085785"/>
      <w:bookmarkStart w:id="164" w:name="_Toc246997013"/>
      <w:bookmarkStart w:id="165" w:name="_Toc419015689"/>
      <w:bookmarkStart w:id="166" w:name="_Toc246996270"/>
      <w:r>
        <w:rPr>
          <w:rFonts w:hint="eastAsia" w:ascii="宋体" w:hAnsi="宋体"/>
          <w:color w:val="auto"/>
          <w:sz w:val="24"/>
          <w:szCs w:val="24"/>
          <w:highlight w:val="none"/>
        </w:rPr>
        <w:t>2.6 组织竣工验收</w:t>
      </w:r>
      <w:bookmarkEnd w:id="161"/>
      <w:bookmarkEnd w:id="162"/>
      <w:bookmarkEnd w:id="163"/>
      <w:bookmarkEnd w:id="164"/>
      <w:bookmarkEnd w:id="165"/>
      <w:bookmarkEnd w:id="16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承包商完成全部合同工作后，承包商提交竣工申请后，采购人应及时组织竣工验收。</w:t>
      </w:r>
    </w:p>
    <w:p>
      <w:pPr>
        <w:pStyle w:val="5"/>
        <w:spacing w:before="120" w:after="120" w:line="360" w:lineRule="auto"/>
        <w:jc w:val="left"/>
        <w:rPr>
          <w:rFonts w:ascii="宋体" w:hAnsi="宋体"/>
          <w:color w:val="auto"/>
          <w:sz w:val="24"/>
          <w:szCs w:val="24"/>
          <w:highlight w:val="none"/>
        </w:rPr>
      </w:pPr>
      <w:bookmarkStart w:id="167" w:name="_Toc247085786"/>
      <w:bookmarkStart w:id="168" w:name="_Toc6365"/>
      <w:bookmarkStart w:id="169" w:name="_Toc246997014"/>
      <w:bookmarkStart w:id="170" w:name="_Toc296602515"/>
      <w:bookmarkStart w:id="171" w:name="_Toc419015690"/>
      <w:bookmarkStart w:id="172" w:name="_Toc246996271"/>
      <w:r>
        <w:rPr>
          <w:rFonts w:hint="eastAsia" w:ascii="宋体" w:hAnsi="宋体"/>
          <w:color w:val="auto"/>
          <w:sz w:val="24"/>
          <w:szCs w:val="24"/>
          <w:highlight w:val="none"/>
        </w:rPr>
        <w:t>2.7 其他义务</w:t>
      </w:r>
      <w:bookmarkEnd w:id="167"/>
      <w:bookmarkEnd w:id="168"/>
      <w:bookmarkEnd w:id="169"/>
      <w:bookmarkEnd w:id="170"/>
      <w:bookmarkEnd w:id="171"/>
      <w:bookmarkEnd w:id="17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采购人应履行合同约定的其他义务。</w:t>
      </w:r>
    </w:p>
    <w:p>
      <w:pPr>
        <w:pStyle w:val="4"/>
        <w:spacing w:before="240" w:after="120" w:line="360" w:lineRule="auto"/>
        <w:jc w:val="both"/>
        <w:rPr>
          <w:rFonts w:ascii="宋体" w:hAnsi="宋体"/>
          <w:b w:val="0"/>
          <w:color w:val="auto"/>
          <w:sz w:val="28"/>
          <w:szCs w:val="28"/>
          <w:highlight w:val="none"/>
        </w:rPr>
      </w:pPr>
      <w:bookmarkStart w:id="173" w:name="_Toc296602522"/>
      <w:bookmarkStart w:id="174" w:name="_Toc419015697"/>
      <w:bookmarkStart w:id="175" w:name="_Toc184635101"/>
      <w:bookmarkStart w:id="176" w:name="_Toc246996278"/>
      <w:bookmarkStart w:id="177" w:name="_Toc247085793"/>
      <w:bookmarkStart w:id="178" w:name="_Toc246997021"/>
      <w:bookmarkStart w:id="179" w:name="_Toc6071"/>
      <w:r>
        <w:rPr>
          <w:rFonts w:hint="eastAsia" w:ascii="宋体" w:hAnsi="宋体"/>
          <w:b w:val="0"/>
          <w:color w:val="auto"/>
          <w:sz w:val="28"/>
          <w:szCs w:val="28"/>
          <w:highlight w:val="none"/>
        </w:rPr>
        <w:t>3. 承包商</w:t>
      </w:r>
      <w:bookmarkEnd w:id="173"/>
      <w:bookmarkEnd w:id="174"/>
      <w:bookmarkEnd w:id="175"/>
      <w:bookmarkEnd w:id="176"/>
      <w:bookmarkEnd w:id="177"/>
      <w:bookmarkEnd w:id="178"/>
      <w:bookmarkEnd w:id="179"/>
    </w:p>
    <w:p>
      <w:pPr>
        <w:pStyle w:val="5"/>
        <w:spacing w:before="120" w:after="120" w:line="360" w:lineRule="auto"/>
        <w:jc w:val="left"/>
        <w:rPr>
          <w:rFonts w:ascii="宋体" w:hAnsi="宋体"/>
          <w:color w:val="auto"/>
          <w:sz w:val="24"/>
          <w:szCs w:val="24"/>
          <w:highlight w:val="none"/>
        </w:rPr>
      </w:pPr>
      <w:bookmarkStart w:id="180" w:name="_Toc247085794"/>
      <w:bookmarkStart w:id="181" w:name="_Toc419015698"/>
      <w:bookmarkStart w:id="182" w:name="_Toc246997022"/>
      <w:bookmarkStart w:id="183" w:name="_Toc246996279"/>
      <w:bookmarkStart w:id="184" w:name="_Toc16088"/>
      <w:bookmarkStart w:id="185" w:name="_Toc296602523"/>
      <w:r>
        <w:rPr>
          <w:rFonts w:hint="eastAsia" w:ascii="宋体" w:hAnsi="宋体"/>
          <w:color w:val="auto"/>
          <w:sz w:val="24"/>
          <w:szCs w:val="24"/>
          <w:highlight w:val="none"/>
        </w:rPr>
        <w:t>3.1 承包商的一般义务</w:t>
      </w:r>
      <w:bookmarkEnd w:id="180"/>
      <w:bookmarkEnd w:id="181"/>
      <w:bookmarkEnd w:id="182"/>
      <w:bookmarkEnd w:id="183"/>
      <w:bookmarkEnd w:id="184"/>
      <w:bookmarkEnd w:id="18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w:t>
      </w:r>
      <w:r>
        <w:rPr>
          <w:rFonts w:ascii="宋体" w:hAnsi="宋体"/>
          <w:color w:val="auto"/>
          <w:szCs w:val="24"/>
          <w:highlight w:val="none"/>
        </w:rPr>
        <w:t>.1.1</w:t>
      </w:r>
      <w:r>
        <w:rPr>
          <w:rFonts w:hint="eastAsia" w:ascii="宋体" w:hAnsi="宋体"/>
          <w:color w:val="auto"/>
          <w:szCs w:val="24"/>
          <w:highlight w:val="none"/>
        </w:rPr>
        <w:t xml:space="preserve"> 承包商应按合同约定以及采购人发出的指令，实施、完成全部工程，并修补工程中的任何缺陷。</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w:t>
      </w:r>
      <w:r>
        <w:rPr>
          <w:rFonts w:ascii="宋体" w:hAnsi="宋体"/>
          <w:color w:val="auto"/>
          <w:szCs w:val="24"/>
          <w:highlight w:val="none"/>
        </w:rPr>
        <w:t>.</w:t>
      </w:r>
      <w:r>
        <w:rPr>
          <w:rFonts w:hint="eastAsia" w:ascii="宋体" w:hAnsi="宋体"/>
          <w:color w:val="auto"/>
          <w:szCs w:val="24"/>
          <w:highlight w:val="none"/>
        </w:rPr>
        <w:t>1</w:t>
      </w:r>
      <w:r>
        <w:rPr>
          <w:rFonts w:ascii="宋体" w:hAnsi="宋体"/>
          <w:color w:val="auto"/>
          <w:szCs w:val="24"/>
          <w:highlight w:val="none"/>
        </w:rPr>
        <w:t>.</w:t>
      </w:r>
      <w:r>
        <w:rPr>
          <w:rFonts w:hint="eastAsia" w:ascii="宋体" w:hAnsi="宋体"/>
          <w:color w:val="auto"/>
          <w:szCs w:val="24"/>
          <w:highlight w:val="none"/>
        </w:rPr>
        <w:t>2</w:t>
      </w:r>
      <w:r>
        <w:rPr>
          <w:rFonts w:ascii="宋体" w:hAnsi="宋体"/>
          <w:color w:val="auto"/>
          <w:szCs w:val="24"/>
          <w:highlight w:val="none"/>
        </w:rPr>
        <w:t>承包商应提供为按照合同完成工程所需的</w:t>
      </w:r>
      <w:r>
        <w:rPr>
          <w:rFonts w:hint="eastAsia" w:ascii="宋体" w:hAnsi="宋体"/>
          <w:color w:val="auto"/>
          <w:szCs w:val="24"/>
          <w:highlight w:val="none"/>
        </w:rPr>
        <w:t>劳务、</w:t>
      </w:r>
      <w:r>
        <w:rPr>
          <w:rFonts w:ascii="宋体" w:hAnsi="宋体"/>
          <w:color w:val="auto"/>
          <w:szCs w:val="24"/>
          <w:highlight w:val="none"/>
        </w:rPr>
        <w:t>材料、</w:t>
      </w:r>
      <w:r>
        <w:rPr>
          <w:rFonts w:hint="eastAsia" w:ascii="宋体" w:hAnsi="宋体"/>
          <w:color w:val="auto"/>
          <w:szCs w:val="24"/>
          <w:highlight w:val="none"/>
        </w:rPr>
        <w:t>施工设备、</w:t>
      </w:r>
      <w:r>
        <w:rPr>
          <w:rFonts w:ascii="宋体" w:hAnsi="宋体"/>
          <w:color w:val="auto"/>
          <w:szCs w:val="24"/>
          <w:highlight w:val="none"/>
        </w:rPr>
        <w:t>工程设备</w:t>
      </w:r>
      <w:r>
        <w:rPr>
          <w:rFonts w:hint="eastAsia" w:ascii="宋体" w:hAnsi="宋体"/>
          <w:color w:val="auto"/>
          <w:szCs w:val="24"/>
          <w:highlight w:val="none"/>
        </w:rPr>
        <w:t>和其他物品，</w:t>
      </w:r>
      <w:r>
        <w:rPr>
          <w:rFonts w:ascii="宋体" w:hAnsi="宋体"/>
          <w:color w:val="auto"/>
          <w:szCs w:val="24"/>
          <w:highlight w:val="none"/>
        </w:rPr>
        <w:t>以及</w:t>
      </w:r>
      <w:r>
        <w:rPr>
          <w:rFonts w:hint="eastAsia" w:ascii="宋体" w:hAnsi="宋体"/>
          <w:color w:val="auto"/>
          <w:szCs w:val="24"/>
          <w:highlight w:val="none"/>
        </w:rPr>
        <w:t>按合同约定的</w:t>
      </w:r>
      <w:r>
        <w:rPr>
          <w:rFonts w:ascii="宋体" w:hAnsi="宋体"/>
          <w:color w:val="auto"/>
          <w:szCs w:val="24"/>
          <w:highlight w:val="none"/>
        </w:rPr>
        <w:t>临时设施等。</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w:t>
      </w:r>
      <w:r>
        <w:rPr>
          <w:rFonts w:ascii="宋体" w:hAnsi="宋体"/>
          <w:color w:val="auto"/>
          <w:szCs w:val="24"/>
          <w:highlight w:val="none"/>
        </w:rPr>
        <w:t>.</w:t>
      </w:r>
      <w:r>
        <w:rPr>
          <w:rFonts w:hint="eastAsia" w:ascii="宋体" w:hAnsi="宋体"/>
          <w:color w:val="auto"/>
          <w:szCs w:val="24"/>
          <w:highlight w:val="none"/>
        </w:rPr>
        <w:t>1</w:t>
      </w:r>
      <w:r>
        <w:rPr>
          <w:rFonts w:ascii="宋体" w:hAnsi="宋体"/>
          <w:color w:val="auto"/>
          <w:szCs w:val="24"/>
          <w:highlight w:val="none"/>
        </w:rPr>
        <w:t>.</w:t>
      </w:r>
      <w:r>
        <w:rPr>
          <w:rFonts w:hint="eastAsia" w:ascii="宋体" w:hAnsi="宋体"/>
          <w:color w:val="auto"/>
          <w:szCs w:val="24"/>
          <w:highlight w:val="none"/>
        </w:rPr>
        <w:t xml:space="preserve">3 </w:t>
      </w:r>
      <w:r>
        <w:rPr>
          <w:rFonts w:ascii="宋体" w:hAnsi="宋体"/>
          <w:color w:val="auto"/>
          <w:szCs w:val="24"/>
          <w:highlight w:val="none"/>
        </w:rPr>
        <w:t>承包商应对所有现场作业、所有施工方法和全部工程的完备性、稳定性和安全性负责。</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w:t>
      </w:r>
      <w:r>
        <w:rPr>
          <w:rFonts w:ascii="宋体" w:hAnsi="宋体"/>
          <w:color w:val="auto"/>
          <w:szCs w:val="24"/>
          <w:highlight w:val="none"/>
        </w:rPr>
        <w:t>.</w:t>
      </w:r>
      <w:r>
        <w:rPr>
          <w:rFonts w:hint="eastAsia" w:ascii="宋体" w:hAnsi="宋体"/>
          <w:color w:val="auto"/>
          <w:szCs w:val="24"/>
          <w:highlight w:val="none"/>
        </w:rPr>
        <w:t>1</w:t>
      </w:r>
      <w:r>
        <w:rPr>
          <w:rFonts w:ascii="宋体" w:hAnsi="宋体"/>
          <w:color w:val="auto"/>
          <w:szCs w:val="24"/>
          <w:highlight w:val="none"/>
        </w:rPr>
        <w:t>.</w:t>
      </w:r>
      <w:r>
        <w:rPr>
          <w:rFonts w:hint="eastAsia" w:ascii="宋体" w:hAnsi="宋体"/>
          <w:color w:val="auto"/>
          <w:szCs w:val="24"/>
          <w:highlight w:val="none"/>
        </w:rPr>
        <w:t>4 承包商应按照法律规定和合同约定，负责施工场地及其周边环境与生态的保护工作。</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3.1.5 工程竣工验收前，承包商应负责照管和维护工程。</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3.1.6承包商应负责将施工所需水、电、电讯线路从施工现场外部接至施工现场，保证施工期间的需要，与此相关的费用由承包商自行承担。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3.1.7</w:t>
      </w:r>
      <w:r>
        <w:rPr>
          <w:rFonts w:ascii="宋体" w:hAnsi="宋体"/>
          <w:color w:val="auto"/>
          <w:szCs w:val="24"/>
          <w:highlight w:val="none"/>
        </w:rPr>
        <w:t>承包商应及时支付工程中的材料、设备货款及民工工资等费用。</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3.1.8承包商应履行合同约定的其他义务。</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合同约定应由承包商承担的义务和责任，不因采购人对承包商文件的审查或批准，对工程、材料和工程设备的检查和检验行为而减轻或解除。</w:t>
      </w:r>
    </w:p>
    <w:p>
      <w:pPr>
        <w:pStyle w:val="5"/>
        <w:spacing w:before="120" w:after="120" w:line="360" w:lineRule="auto"/>
        <w:jc w:val="left"/>
        <w:rPr>
          <w:rFonts w:ascii="宋体" w:hAnsi="宋体"/>
          <w:color w:val="auto"/>
          <w:sz w:val="24"/>
          <w:szCs w:val="24"/>
          <w:highlight w:val="none"/>
        </w:rPr>
      </w:pPr>
      <w:bookmarkStart w:id="186" w:name="_Toc246997023"/>
      <w:bookmarkStart w:id="187" w:name="_Toc247085795"/>
      <w:bookmarkStart w:id="188" w:name="_Toc4382"/>
      <w:bookmarkStart w:id="189" w:name="_Toc419015699"/>
      <w:bookmarkStart w:id="190" w:name="_Toc296602524"/>
      <w:bookmarkStart w:id="191" w:name="_Toc246996280"/>
      <w:r>
        <w:rPr>
          <w:rFonts w:hint="eastAsia" w:ascii="宋体" w:hAnsi="宋体"/>
          <w:color w:val="auto"/>
          <w:sz w:val="24"/>
          <w:szCs w:val="24"/>
          <w:highlight w:val="none"/>
        </w:rPr>
        <w:t>3.2 履约担保</w:t>
      </w:r>
      <w:bookmarkEnd w:id="186"/>
      <w:bookmarkEnd w:id="187"/>
      <w:bookmarkEnd w:id="188"/>
      <w:bookmarkEnd w:id="189"/>
      <w:bookmarkEnd w:id="190"/>
      <w:bookmarkEnd w:id="191"/>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3.2.1承包商应在合同签订前向采购人缴纳足额履约担保金，保证其履约担保在采购人竣工验收前一直有效。采购人应在工程竣工验收后28 日内把履约担保金退还给承包商。履约担保金不计利息。</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3.2.2如工程延期，承包商有义务继续提供履约担保。由于采购人原因导致延期的，继续提供履约担保所需的费用由采购人承担；由于承包商原因导致延期的，继续提供履约担保所需费用由承包商承担。</w:t>
      </w:r>
    </w:p>
    <w:p>
      <w:pPr>
        <w:pStyle w:val="5"/>
        <w:spacing w:before="120" w:after="120" w:line="360" w:lineRule="auto"/>
        <w:jc w:val="left"/>
        <w:rPr>
          <w:rFonts w:hint="eastAsia" w:ascii="宋体" w:hAnsi="宋体" w:eastAsia="宋体"/>
          <w:color w:val="auto"/>
          <w:sz w:val="24"/>
          <w:szCs w:val="24"/>
          <w:highlight w:val="none"/>
          <w:lang w:eastAsia="zh-CN"/>
        </w:rPr>
      </w:pPr>
      <w:bookmarkStart w:id="192" w:name="_Toc27455"/>
      <w:bookmarkStart w:id="193" w:name="_Toc246997025"/>
      <w:bookmarkStart w:id="194" w:name="_Toc296602525"/>
      <w:bookmarkStart w:id="195" w:name="_Toc247085797"/>
      <w:bookmarkStart w:id="196" w:name="_Toc419015700"/>
      <w:bookmarkStart w:id="197" w:name="_Toc246996282"/>
      <w:r>
        <w:rPr>
          <w:rFonts w:hint="eastAsia" w:ascii="宋体" w:hAnsi="宋体"/>
          <w:color w:val="auto"/>
          <w:sz w:val="24"/>
          <w:szCs w:val="24"/>
          <w:highlight w:val="none"/>
        </w:rPr>
        <w:t>3.3 承包商</w:t>
      </w:r>
      <w:bookmarkEnd w:id="192"/>
      <w:bookmarkEnd w:id="193"/>
      <w:bookmarkEnd w:id="194"/>
      <w:bookmarkEnd w:id="195"/>
      <w:bookmarkEnd w:id="196"/>
      <w:bookmarkEnd w:id="197"/>
      <w:r>
        <w:rPr>
          <w:rFonts w:hint="eastAsia" w:ascii="宋体" w:hAnsi="宋体"/>
          <w:color w:val="auto"/>
          <w:sz w:val="24"/>
          <w:szCs w:val="24"/>
          <w:highlight w:val="none"/>
          <w:lang w:eastAsia="zh-CN"/>
        </w:rPr>
        <w:t>施工负责人</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承包商应按合同约定指派</w:t>
      </w:r>
      <w:r>
        <w:rPr>
          <w:rFonts w:hint="eastAsia" w:ascii="宋体" w:hAnsi="宋体"/>
          <w:color w:val="auto"/>
          <w:szCs w:val="24"/>
          <w:highlight w:val="none"/>
          <w:lang w:eastAsia="zh-CN"/>
        </w:rPr>
        <w:t>施工负责人</w:t>
      </w:r>
      <w:r>
        <w:rPr>
          <w:rFonts w:hint="eastAsia" w:ascii="宋体" w:hAnsi="宋体"/>
          <w:color w:val="auto"/>
          <w:szCs w:val="24"/>
          <w:highlight w:val="none"/>
        </w:rPr>
        <w:t>，并在约定的期限内到职。承包商</w:t>
      </w:r>
      <w:r>
        <w:rPr>
          <w:rFonts w:hint="eastAsia" w:ascii="宋体" w:hAnsi="宋体"/>
          <w:color w:val="auto"/>
          <w:szCs w:val="24"/>
          <w:highlight w:val="none"/>
          <w:lang w:eastAsia="zh-CN"/>
        </w:rPr>
        <w:t>施工负责人</w:t>
      </w:r>
      <w:r>
        <w:rPr>
          <w:rFonts w:hint="eastAsia" w:ascii="宋体" w:hAnsi="宋体"/>
          <w:color w:val="auto"/>
          <w:szCs w:val="24"/>
          <w:highlight w:val="none"/>
        </w:rPr>
        <w:t>应按合同约定以及采购人作出的指示，负责组织合同工程的实施。承包商为履行合同发出的一切函件均应盖有承包商公章或其授权的施工场地管理机构章，并由承包商</w:t>
      </w:r>
      <w:r>
        <w:rPr>
          <w:rFonts w:hint="eastAsia" w:ascii="宋体" w:hAnsi="宋体"/>
          <w:color w:val="auto"/>
          <w:szCs w:val="24"/>
          <w:highlight w:val="none"/>
          <w:lang w:eastAsia="zh-CN"/>
        </w:rPr>
        <w:t>施工负责人</w:t>
      </w:r>
      <w:r>
        <w:rPr>
          <w:rFonts w:hint="eastAsia" w:ascii="宋体" w:hAnsi="宋体"/>
          <w:color w:val="auto"/>
          <w:szCs w:val="24"/>
          <w:highlight w:val="none"/>
        </w:rPr>
        <w:t>或其授权代表签字。</w:t>
      </w:r>
    </w:p>
    <w:p>
      <w:pPr>
        <w:pStyle w:val="5"/>
        <w:spacing w:before="120" w:after="120" w:line="360" w:lineRule="auto"/>
        <w:jc w:val="left"/>
        <w:rPr>
          <w:rFonts w:ascii="宋体" w:hAnsi="宋体"/>
          <w:color w:val="auto"/>
          <w:sz w:val="24"/>
          <w:szCs w:val="24"/>
          <w:highlight w:val="none"/>
        </w:rPr>
      </w:pPr>
      <w:bookmarkStart w:id="198" w:name="_Toc419015701"/>
      <w:bookmarkStart w:id="199" w:name="_Toc296602526"/>
      <w:bookmarkStart w:id="200" w:name="_Toc12846"/>
      <w:bookmarkStart w:id="201" w:name="_Toc246997026"/>
      <w:bookmarkStart w:id="202" w:name="_Toc246996283"/>
      <w:bookmarkStart w:id="203" w:name="_Toc247085798"/>
      <w:r>
        <w:rPr>
          <w:rFonts w:hint="eastAsia" w:ascii="宋体" w:hAnsi="宋体"/>
          <w:color w:val="auto"/>
          <w:sz w:val="24"/>
          <w:szCs w:val="24"/>
          <w:highlight w:val="none"/>
        </w:rPr>
        <w:t>3.4 工程价款应专款专用</w:t>
      </w:r>
      <w:bookmarkEnd w:id="198"/>
      <w:bookmarkEnd w:id="199"/>
      <w:bookmarkEnd w:id="200"/>
      <w:bookmarkEnd w:id="201"/>
      <w:bookmarkEnd w:id="202"/>
      <w:bookmarkEnd w:id="20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采购人按合同约定支付给承包商的各项价款应专用于合同工程。</w:t>
      </w:r>
      <w:bookmarkStart w:id="204" w:name="_Toc247085799"/>
      <w:bookmarkStart w:id="205" w:name="_Toc246997027"/>
      <w:bookmarkStart w:id="206" w:name="_Toc246996284"/>
    </w:p>
    <w:p>
      <w:pPr>
        <w:pStyle w:val="5"/>
        <w:spacing w:before="120" w:after="120" w:line="360" w:lineRule="auto"/>
        <w:jc w:val="left"/>
        <w:rPr>
          <w:rFonts w:ascii="宋体" w:hAnsi="宋体"/>
          <w:color w:val="auto"/>
          <w:sz w:val="24"/>
          <w:szCs w:val="24"/>
          <w:highlight w:val="none"/>
        </w:rPr>
      </w:pPr>
      <w:bookmarkStart w:id="207" w:name="_Toc152045650"/>
      <w:bookmarkStart w:id="208" w:name="_Toc152042428"/>
      <w:bookmarkStart w:id="209" w:name="_Toc144974618"/>
      <w:bookmarkStart w:id="210" w:name="_Toc179632668"/>
      <w:bookmarkStart w:id="211" w:name="_Toc17626"/>
      <w:bookmarkStart w:id="212" w:name="_Toc296602527"/>
      <w:bookmarkStart w:id="213" w:name="_Toc419015702"/>
      <w:r>
        <w:rPr>
          <w:rFonts w:hint="eastAsia" w:ascii="宋体" w:hAnsi="宋体"/>
          <w:color w:val="auto"/>
          <w:sz w:val="24"/>
          <w:szCs w:val="24"/>
          <w:highlight w:val="none"/>
        </w:rPr>
        <w:t>3.5 不利物质条件</w:t>
      </w:r>
      <w:bookmarkEnd w:id="207"/>
      <w:bookmarkEnd w:id="208"/>
      <w:bookmarkEnd w:id="209"/>
      <w:bookmarkEnd w:id="210"/>
      <w:bookmarkEnd w:id="211"/>
      <w:bookmarkEnd w:id="212"/>
      <w:bookmarkEnd w:id="21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3.5.1 不利物质条件，是指承包商在施工场地遇到的不可预见的自然物质条件、非自然的物质障碍和污染物，包括地下和水文条件，但不包括气候条件。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3.5.2 承包商遇到不利物质条件时，应采取适应不利物质条件的合理措施继续施工，并及时通知采购人，通知应载明不利物质条件的内容以及承包商认为不可预见的理由。采购人应当及时发出指示，指示构成变更的，按第8条约定执行。采购人没有发出指示的，承包商因采取合理措施而增加的费用和（或）工期延误，由采购人承担。</w:t>
      </w:r>
    </w:p>
    <w:p>
      <w:pPr>
        <w:pStyle w:val="5"/>
        <w:spacing w:before="120" w:after="120" w:line="360" w:lineRule="auto"/>
        <w:jc w:val="left"/>
        <w:rPr>
          <w:rFonts w:ascii="宋体" w:hAnsi="宋体"/>
          <w:color w:val="auto"/>
          <w:sz w:val="24"/>
          <w:szCs w:val="24"/>
          <w:highlight w:val="none"/>
        </w:rPr>
      </w:pPr>
      <w:bookmarkStart w:id="214" w:name="_Toc419015703"/>
      <w:bookmarkStart w:id="215" w:name="_Toc24610"/>
      <w:r>
        <w:rPr>
          <w:rFonts w:hint="eastAsia" w:ascii="宋体" w:hAnsi="宋体"/>
          <w:color w:val="auto"/>
          <w:sz w:val="24"/>
          <w:szCs w:val="24"/>
          <w:highlight w:val="none"/>
        </w:rPr>
        <w:t>3.6 承包商的施工安全责任</w:t>
      </w:r>
      <w:bookmarkEnd w:id="214"/>
      <w:bookmarkEnd w:id="21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w:t>
      </w:r>
      <w:r>
        <w:rPr>
          <w:rFonts w:ascii="宋体" w:hAnsi="宋体"/>
          <w:color w:val="auto"/>
          <w:szCs w:val="24"/>
          <w:highlight w:val="none"/>
        </w:rPr>
        <w:t>.</w:t>
      </w:r>
      <w:r>
        <w:rPr>
          <w:rFonts w:hint="eastAsia" w:ascii="宋体" w:hAnsi="宋体"/>
          <w:color w:val="auto"/>
          <w:szCs w:val="24"/>
          <w:highlight w:val="none"/>
        </w:rPr>
        <w:t>6</w:t>
      </w:r>
      <w:r>
        <w:rPr>
          <w:rFonts w:ascii="宋体" w:hAnsi="宋体"/>
          <w:color w:val="auto"/>
          <w:szCs w:val="24"/>
          <w:highlight w:val="none"/>
        </w:rPr>
        <w:t>.1 承包商应按合同约定履行安全职责，严格执行国家、地方政府有关施工安全管理方面的法律、法规及规章制度，同时严格执行</w:t>
      </w:r>
      <w:r>
        <w:rPr>
          <w:rFonts w:hint="eastAsia" w:ascii="宋体" w:hAnsi="宋体"/>
          <w:color w:val="auto"/>
          <w:szCs w:val="24"/>
          <w:highlight w:val="none"/>
        </w:rPr>
        <w:t>采购人</w:t>
      </w:r>
      <w:r>
        <w:rPr>
          <w:rFonts w:ascii="宋体" w:hAnsi="宋体"/>
          <w:color w:val="auto"/>
          <w:szCs w:val="24"/>
          <w:highlight w:val="none"/>
        </w:rPr>
        <w:t>制订的本项目安全生产管理方面的规章制度、安全检查程序及施工安全管理要求，以及</w:t>
      </w:r>
      <w:r>
        <w:rPr>
          <w:rFonts w:hint="eastAsia" w:ascii="宋体" w:hAnsi="宋体"/>
          <w:color w:val="auto"/>
          <w:szCs w:val="24"/>
          <w:highlight w:val="none"/>
        </w:rPr>
        <w:t>采购人</w:t>
      </w:r>
      <w:r>
        <w:rPr>
          <w:rFonts w:ascii="宋体" w:hAnsi="宋体"/>
          <w:color w:val="auto"/>
          <w:szCs w:val="24"/>
          <w:highlight w:val="none"/>
        </w:rPr>
        <w:t>有关安全工作的指示。</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3.6.2</w:t>
      </w:r>
      <w:r>
        <w:rPr>
          <w:rFonts w:ascii="宋体" w:hAnsi="宋体"/>
          <w:color w:val="auto"/>
          <w:szCs w:val="24"/>
          <w:highlight w:val="none"/>
        </w:rPr>
        <w:t>在整个施工过程中对承包商采取的施工安全措施，采购人有权监督，并向承包商提出整改要求。如果由于承包商未能对其负责的上述事项采取各种必要的措施而导致或发生与此有关的人身伤亡、罚款、索赔、损失补偿、诉讼费用及其他一切责任由承包商负责。</w:t>
      </w:r>
    </w:p>
    <w:p>
      <w:pPr>
        <w:pStyle w:val="4"/>
        <w:spacing w:before="240" w:after="120" w:line="360" w:lineRule="auto"/>
        <w:jc w:val="both"/>
        <w:rPr>
          <w:rFonts w:ascii="宋体" w:hAnsi="宋体"/>
          <w:b w:val="0"/>
          <w:color w:val="auto"/>
          <w:sz w:val="28"/>
          <w:szCs w:val="28"/>
          <w:highlight w:val="none"/>
        </w:rPr>
      </w:pPr>
      <w:bookmarkStart w:id="216" w:name="_Toc152045679"/>
      <w:bookmarkStart w:id="217" w:name="_Toc179632697"/>
      <w:bookmarkStart w:id="218" w:name="_Toc152042457"/>
      <w:bookmarkStart w:id="219" w:name="_Toc144974647"/>
      <w:bookmarkStart w:id="220" w:name="_Toc419015705"/>
      <w:bookmarkStart w:id="221" w:name="_Toc14166"/>
      <w:bookmarkStart w:id="222" w:name="_Toc296602529"/>
      <w:r>
        <w:rPr>
          <w:rFonts w:hint="eastAsia" w:ascii="宋体" w:hAnsi="宋体"/>
          <w:b w:val="0"/>
          <w:color w:val="auto"/>
          <w:sz w:val="28"/>
          <w:szCs w:val="28"/>
          <w:highlight w:val="none"/>
        </w:rPr>
        <w:t xml:space="preserve">4. </w:t>
      </w:r>
      <w:bookmarkEnd w:id="216"/>
      <w:bookmarkEnd w:id="217"/>
      <w:bookmarkEnd w:id="218"/>
      <w:bookmarkEnd w:id="219"/>
      <w:r>
        <w:rPr>
          <w:rFonts w:hint="eastAsia" w:ascii="宋体" w:hAnsi="宋体"/>
          <w:b w:val="0"/>
          <w:color w:val="auto"/>
          <w:sz w:val="28"/>
          <w:szCs w:val="28"/>
          <w:highlight w:val="none"/>
        </w:rPr>
        <w:t>工期</w:t>
      </w:r>
      <w:bookmarkEnd w:id="220"/>
      <w:bookmarkEnd w:id="221"/>
      <w:bookmarkEnd w:id="222"/>
    </w:p>
    <w:p>
      <w:pPr>
        <w:pStyle w:val="5"/>
        <w:spacing w:before="120" w:after="120" w:line="360" w:lineRule="auto"/>
        <w:jc w:val="left"/>
        <w:rPr>
          <w:rFonts w:ascii="宋体" w:hAnsi="宋体"/>
          <w:color w:val="auto"/>
          <w:sz w:val="24"/>
          <w:szCs w:val="24"/>
          <w:highlight w:val="none"/>
        </w:rPr>
      </w:pPr>
      <w:bookmarkStart w:id="223" w:name="_Toc3525"/>
      <w:bookmarkStart w:id="224" w:name="_Toc419015706"/>
      <w:bookmarkStart w:id="225" w:name="_Toc296602530"/>
      <w:bookmarkStart w:id="226" w:name="_Toc144974650"/>
      <w:bookmarkStart w:id="227" w:name="_Toc152042460"/>
      <w:bookmarkStart w:id="228" w:name="_Toc152045682"/>
      <w:bookmarkStart w:id="229" w:name="_Toc179632700"/>
      <w:r>
        <w:rPr>
          <w:rFonts w:hint="eastAsia" w:ascii="宋体" w:hAnsi="宋体"/>
          <w:color w:val="auto"/>
          <w:sz w:val="24"/>
          <w:szCs w:val="24"/>
          <w:highlight w:val="none"/>
        </w:rPr>
        <w:t>4.1 进度计划</w:t>
      </w:r>
      <w:bookmarkEnd w:id="223"/>
      <w:bookmarkEnd w:id="224"/>
      <w:bookmarkEnd w:id="225"/>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承包商参照本文件第一章1.3款在合同签订后7日内</w:t>
      </w:r>
      <w:r>
        <w:rPr>
          <w:rFonts w:ascii="宋体" w:hAnsi="宋体"/>
          <w:color w:val="auto"/>
          <w:szCs w:val="24"/>
          <w:highlight w:val="none"/>
        </w:rPr>
        <w:t>，向</w:t>
      </w:r>
      <w:r>
        <w:rPr>
          <w:rFonts w:hint="eastAsia" w:ascii="宋体" w:hAnsi="宋体"/>
          <w:color w:val="auto"/>
          <w:szCs w:val="24"/>
          <w:highlight w:val="none"/>
        </w:rPr>
        <w:t>采购人</w:t>
      </w:r>
      <w:r>
        <w:rPr>
          <w:rFonts w:ascii="宋体" w:hAnsi="宋体"/>
          <w:color w:val="auto"/>
          <w:szCs w:val="24"/>
          <w:highlight w:val="none"/>
        </w:rPr>
        <w:t>提交进度计划</w:t>
      </w:r>
      <w:r>
        <w:rPr>
          <w:rFonts w:hint="eastAsia" w:ascii="宋体" w:hAnsi="宋体"/>
          <w:color w:val="auto"/>
          <w:szCs w:val="24"/>
          <w:highlight w:val="none"/>
        </w:rPr>
        <w:t>。</w:t>
      </w:r>
      <w:r>
        <w:rPr>
          <w:rFonts w:ascii="宋体" w:hAnsi="宋体"/>
          <w:color w:val="auto"/>
          <w:szCs w:val="24"/>
          <w:highlight w:val="none"/>
        </w:rPr>
        <w:t>经</w:t>
      </w:r>
      <w:r>
        <w:rPr>
          <w:rFonts w:hint="eastAsia" w:ascii="宋体" w:hAnsi="宋体"/>
          <w:color w:val="auto"/>
          <w:szCs w:val="24"/>
          <w:highlight w:val="none"/>
        </w:rPr>
        <w:t>采购人</w:t>
      </w:r>
      <w:r>
        <w:rPr>
          <w:rFonts w:ascii="宋体" w:hAnsi="宋体"/>
          <w:color w:val="auto"/>
          <w:szCs w:val="24"/>
          <w:highlight w:val="none"/>
        </w:rPr>
        <w:t>审批后</w:t>
      </w:r>
      <w:r>
        <w:rPr>
          <w:rFonts w:hint="eastAsia" w:ascii="宋体" w:hAnsi="宋体"/>
          <w:color w:val="auto"/>
          <w:szCs w:val="24"/>
          <w:highlight w:val="none"/>
        </w:rPr>
        <w:t>的进度计划具有合同约束力，承包商应当严格执行。实际进度与进度计划不符时，采购人应当指示承包商对进度计划进行修订，重新提交给采购人审批。</w:t>
      </w:r>
    </w:p>
    <w:bookmarkEnd w:id="226"/>
    <w:bookmarkEnd w:id="227"/>
    <w:bookmarkEnd w:id="228"/>
    <w:bookmarkEnd w:id="229"/>
    <w:p>
      <w:pPr>
        <w:pStyle w:val="5"/>
        <w:spacing w:before="120" w:after="120" w:line="360" w:lineRule="auto"/>
        <w:jc w:val="left"/>
        <w:rPr>
          <w:rFonts w:ascii="宋体" w:hAnsi="宋体"/>
          <w:color w:val="auto"/>
          <w:sz w:val="24"/>
          <w:szCs w:val="24"/>
          <w:highlight w:val="none"/>
        </w:rPr>
      </w:pPr>
      <w:bookmarkStart w:id="230" w:name="_Toc296602531"/>
      <w:bookmarkStart w:id="231" w:name="_Toc419015707"/>
      <w:bookmarkStart w:id="232" w:name="_Toc12486"/>
      <w:r>
        <w:rPr>
          <w:rFonts w:hint="eastAsia" w:ascii="宋体" w:hAnsi="宋体"/>
          <w:color w:val="auto"/>
          <w:sz w:val="24"/>
          <w:szCs w:val="24"/>
          <w:highlight w:val="none"/>
        </w:rPr>
        <w:t>4.2 工程实施</w:t>
      </w:r>
      <w:bookmarkEnd w:id="230"/>
      <w:bookmarkEnd w:id="231"/>
      <w:bookmarkEnd w:id="23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采购人应在开工日期3日前向承包商发出开工通知。承包商应在第</w:t>
      </w:r>
      <w:r>
        <w:rPr>
          <w:rFonts w:ascii="宋体" w:hAnsi="宋体"/>
          <w:color w:val="auto"/>
          <w:szCs w:val="24"/>
          <w:highlight w:val="none"/>
        </w:rPr>
        <w:t>1.1.4.3</w:t>
      </w:r>
      <w:r>
        <w:rPr>
          <w:rFonts w:hint="eastAsia" w:ascii="宋体" w:hAnsi="宋体"/>
          <w:color w:val="auto"/>
          <w:szCs w:val="24"/>
          <w:highlight w:val="none"/>
        </w:rPr>
        <w:t>约定的期限内完成合同工程。实际竣工日期在验收单上写明。</w:t>
      </w:r>
    </w:p>
    <w:p>
      <w:pPr>
        <w:pStyle w:val="5"/>
        <w:spacing w:before="120" w:after="120" w:line="360" w:lineRule="auto"/>
        <w:jc w:val="left"/>
        <w:rPr>
          <w:rFonts w:ascii="宋体" w:hAnsi="宋体"/>
          <w:color w:val="auto"/>
          <w:sz w:val="24"/>
          <w:szCs w:val="24"/>
          <w:highlight w:val="none"/>
        </w:rPr>
      </w:pPr>
      <w:bookmarkStart w:id="233" w:name="_Toc419015708"/>
      <w:bookmarkStart w:id="234" w:name="_Toc152045685"/>
      <w:bookmarkStart w:id="235" w:name="_Toc296602532"/>
      <w:bookmarkStart w:id="236" w:name="_Toc152042463"/>
      <w:bookmarkStart w:id="237" w:name="_Toc179632703"/>
      <w:bookmarkStart w:id="238" w:name="_Toc144974653"/>
      <w:bookmarkStart w:id="239" w:name="_Toc25997"/>
      <w:r>
        <w:rPr>
          <w:rFonts w:hint="eastAsia" w:ascii="宋体" w:hAnsi="宋体"/>
          <w:color w:val="auto"/>
          <w:sz w:val="24"/>
          <w:szCs w:val="24"/>
          <w:highlight w:val="none"/>
        </w:rPr>
        <w:t>4.3 采购人引起的工期延误</w:t>
      </w:r>
      <w:bookmarkEnd w:id="233"/>
      <w:bookmarkEnd w:id="234"/>
      <w:bookmarkEnd w:id="235"/>
      <w:bookmarkEnd w:id="236"/>
      <w:bookmarkEnd w:id="237"/>
      <w:bookmarkEnd w:id="238"/>
      <w:bookmarkEnd w:id="23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在履行合同过程中，由于采购人的下列原因造成工期延误的，承包商有权要求采购人延长工期和（或）增加费用，并支付合理利润。需要修订合同进度计划的，按照如下约定执行。</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（1）增加合同工作内容；</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（2）改变合同中任何一项工作的质量要求或其他特性；</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（3）采购人迟延提供材料、工程设备或变更交货地点；</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（4）因采购人原因导致的暂停施工；</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（5）采购人造成工期延误的其他原因。</w:t>
      </w:r>
    </w:p>
    <w:p>
      <w:pPr>
        <w:pStyle w:val="5"/>
        <w:spacing w:before="120" w:after="120" w:line="360" w:lineRule="auto"/>
        <w:jc w:val="left"/>
        <w:rPr>
          <w:rFonts w:ascii="宋体" w:hAnsi="宋体"/>
          <w:color w:val="auto"/>
          <w:sz w:val="24"/>
          <w:szCs w:val="24"/>
          <w:highlight w:val="none"/>
        </w:rPr>
      </w:pPr>
      <w:bookmarkStart w:id="240" w:name="_Toc179632704"/>
      <w:bookmarkStart w:id="241" w:name="_Toc419015709"/>
      <w:bookmarkStart w:id="242" w:name="_Toc31687"/>
      <w:bookmarkStart w:id="243" w:name="_Toc144974654"/>
      <w:bookmarkStart w:id="244" w:name="_Toc152042464"/>
      <w:bookmarkStart w:id="245" w:name="_Toc152045686"/>
      <w:bookmarkStart w:id="246" w:name="_Toc296602533"/>
      <w:r>
        <w:rPr>
          <w:rFonts w:hint="eastAsia" w:ascii="宋体" w:hAnsi="宋体"/>
          <w:color w:val="auto"/>
          <w:sz w:val="24"/>
          <w:szCs w:val="24"/>
          <w:highlight w:val="none"/>
        </w:rPr>
        <w:t>4.4 异常恶劣的气候条件</w:t>
      </w:r>
      <w:bookmarkEnd w:id="240"/>
      <w:bookmarkEnd w:id="241"/>
      <w:bookmarkEnd w:id="242"/>
      <w:bookmarkEnd w:id="243"/>
      <w:bookmarkEnd w:id="244"/>
      <w:bookmarkEnd w:id="245"/>
      <w:bookmarkEnd w:id="24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由于出现异常恶劣气候导致工期延误的，承包商有权要求采购人延长工期。</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异常恶劣的气候条件：指工程所在地的不利降水（雪）、最高（低）气温等罕见气候引起延误的情况。上述不利的气候条件衡量标准如下：</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w:t>
      </w:r>
      <w:r>
        <w:rPr>
          <w:rFonts w:hint="eastAsia" w:ascii="宋体" w:hAnsi="宋体"/>
          <w:color w:val="auto"/>
          <w:szCs w:val="24"/>
          <w:highlight w:val="none"/>
        </w:rPr>
        <w:t>1</w:t>
      </w:r>
      <w:r>
        <w:rPr>
          <w:rFonts w:ascii="宋体" w:hAnsi="宋体"/>
          <w:color w:val="auto"/>
          <w:szCs w:val="24"/>
          <w:highlight w:val="none"/>
        </w:rPr>
        <w:t>） 按本省气象部门统计的30年一遇的降水（雪）、最高（低）气温资料中的天数为标准（以年为单位）；</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w:t>
      </w:r>
      <w:r>
        <w:rPr>
          <w:rFonts w:hint="eastAsia" w:ascii="宋体" w:hAnsi="宋体"/>
          <w:color w:val="auto"/>
          <w:szCs w:val="24"/>
          <w:highlight w:val="none"/>
        </w:rPr>
        <w:t>2</w:t>
      </w:r>
      <w:r>
        <w:rPr>
          <w:rFonts w:ascii="宋体" w:hAnsi="宋体"/>
          <w:color w:val="auto"/>
          <w:szCs w:val="24"/>
          <w:highlight w:val="none"/>
        </w:rPr>
        <w:t>）本年实际统计的年降水（雪）、最高（低）气温天数大于（</w:t>
      </w:r>
      <w:r>
        <w:rPr>
          <w:rFonts w:hint="eastAsia" w:ascii="宋体" w:hAnsi="宋体"/>
          <w:color w:val="auto"/>
          <w:szCs w:val="24"/>
          <w:highlight w:val="none"/>
        </w:rPr>
        <w:t>1</w:t>
      </w:r>
      <w:r>
        <w:rPr>
          <w:rFonts w:ascii="宋体" w:hAnsi="宋体"/>
          <w:color w:val="auto"/>
          <w:szCs w:val="24"/>
          <w:highlight w:val="none"/>
        </w:rPr>
        <w:t>）所指的降水（雪）、最高（低）气温天数（以年为单位）；</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w:t>
      </w:r>
      <w:r>
        <w:rPr>
          <w:rFonts w:hint="eastAsia" w:ascii="宋体" w:hAnsi="宋体"/>
          <w:color w:val="auto"/>
          <w:szCs w:val="24"/>
          <w:highlight w:val="none"/>
        </w:rPr>
        <w:t>3</w:t>
      </w:r>
      <w:r>
        <w:rPr>
          <w:rFonts w:ascii="宋体" w:hAnsi="宋体"/>
          <w:color w:val="auto"/>
          <w:szCs w:val="24"/>
          <w:highlight w:val="none"/>
        </w:rPr>
        <w:t>）连续1个月以上的雨、冰、雪天气。</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w:t>
      </w:r>
      <w:r>
        <w:rPr>
          <w:rFonts w:ascii="宋体" w:hAnsi="宋体"/>
          <w:color w:val="auto"/>
          <w:szCs w:val="24"/>
          <w:highlight w:val="none"/>
        </w:rPr>
        <w:t>将根据承包商的申请予以评定，</w:t>
      </w:r>
      <w:r>
        <w:rPr>
          <w:rFonts w:hint="eastAsia" w:ascii="宋体" w:hAnsi="宋体"/>
          <w:color w:val="auto"/>
          <w:szCs w:val="24"/>
          <w:highlight w:val="none"/>
        </w:rPr>
        <w:t>采购人</w:t>
      </w:r>
      <w:r>
        <w:rPr>
          <w:rFonts w:ascii="宋体" w:hAnsi="宋体"/>
          <w:color w:val="auto"/>
          <w:szCs w:val="24"/>
          <w:highlight w:val="none"/>
        </w:rPr>
        <w:t>在评定恶劣气候对工程的影响时还将考虑整个工程施工期内其它月份的异常良好气候的时间予以补偿。</w:t>
      </w:r>
    </w:p>
    <w:p>
      <w:pPr>
        <w:pStyle w:val="5"/>
        <w:spacing w:before="120" w:after="120" w:line="360" w:lineRule="auto"/>
        <w:jc w:val="left"/>
        <w:rPr>
          <w:rFonts w:ascii="宋体" w:hAnsi="宋体"/>
          <w:color w:val="auto"/>
          <w:sz w:val="24"/>
          <w:szCs w:val="24"/>
          <w:highlight w:val="none"/>
        </w:rPr>
      </w:pPr>
      <w:bookmarkStart w:id="247" w:name="_Toc144974655"/>
      <w:bookmarkStart w:id="248" w:name="_Toc152042465"/>
      <w:bookmarkStart w:id="249" w:name="_Toc419015710"/>
      <w:bookmarkStart w:id="250" w:name="_Toc296602534"/>
      <w:bookmarkStart w:id="251" w:name="_Toc179632705"/>
      <w:bookmarkStart w:id="252" w:name="_Toc12699"/>
      <w:bookmarkStart w:id="253" w:name="_Toc152045687"/>
      <w:r>
        <w:rPr>
          <w:rFonts w:hint="eastAsia" w:ascii="宋体" w:hAnsi="宋体"/>
          <w:color w:val="auto"/>
          <w:sz w:val="24"/>
          <w:szCs w:val="24"/>
          <w:highlight w:val="none"/>
        </w:rPr>
        <w:t>4.5 承包商引起的工期延误</w:t>
      </w:r>
      <w:bookmarkEnd w:id="247"/>
      <w:bookmarkEnd w:id="248"/>
      <w:bookmarkEnd w:id="249"/>
      <w:bookmarkEnd w:id="250"/>
      <w:bookmarkEnd w:id="251"/>
      <w:bookmarkEnd w:id="252"/>
      <w:bookmarkEnd w:id="253"/>
    </w:p>
    <w:p>
      <w:pPr>
        <w:spacing w:line="360" w:lineRule="auto"/>
        <w:ind w:firstLine="480" w:firstLineChars="200"/>
        <w:rPr>
          <w:rFonts w:ascii="宋体" w:hAnsi="宋体"/>
          <w:color w:val="auto"/>
          <w:szCs w:val="24"/>
          <w:highlight w:val="none"/>
        </w:rPr>
      </w:pPr>
      <w:r>
        <w:rPr>
          <w:rFonts w:ascii="宋体" w:hAnsi="宋体"/>
          <w:color w:val="auto"/>
          <w:szCs w:val="24"/>
          <w:highlight w:val="none"/>
        </w:rPr>
        <w:t>由于</w:t>
      </w:r>
      <w:r>
        <w:rPr>
          <w:rFonts w:hint="eastAsia" w:ascii="宋体" w:hAnsi="宋体"/>
          <w:color w:val="auto"/>
          <w:szCs w:val="24"/>
          <w:highlight w:val="none"/>
        </w:rPr>
        <w:t>承包商</w:t>
      </w:r>
      <w:r>
        <w:rPr>
          <w:rFonts w:ascii="宋体" w:hAnsi="宋体"/>
          <w:color w:val="auto"/>
          <w:szCs w:val="24"/>
          <w:highlight w:val="none"/>
        </w:rPr>
        <w:t>原因造成工期延误，</w:t>
      </w:r>
      <w:r>
        <w:rPr>
          <w:rFonts w:hint="eastAsia" w:ascii="宋体" w:hAnsi="宋体"/>
          <w:color w:val="auto"/>
          <w:szCs w:val="24"/>
          <w:highlight w:val="none"/>
        </w:rPr>
        <w:t>承包商</w:t>
      </w:r>
      <w:r>
        <w:rPr>
          <w:rFonts w:ascii="宋体" w:hAnsi="宋体"/>
          <w:color w:val="auto"/>
          <w:szCs w:val="24"/>
          <w:highlight w:val="none"/>
        </w:rPr>
        <w:t>应按照</w:t>
      </w:r>
      <w:r>
        <w:rPr>
          <w:rFonts w:hint="eastAsia" w:ascii="宋体" w:hAnsi="宋体"/>
          <w:color w:val="auto"/>
          <w:szCs w:val="24"/>
          <w:highlight w:val="none"/>
        </w:rPr>
        <w:t>2000元/日</w:t>
      </w:r>
      <w:r>
        <w:rPr>
          <w:rFonts w:ascii="宋体" w:hAnsi="宋体"/>
          <w:color w:val="auto"/>
          <w:szCs w:val="24"/>
          <w:highlight w:val="none"/>
        </w:rPr>
        <w:t>，支付逾期竣工违约金</w:t>
      </w:r>
      <w:r>
        <w:rPr>
          <w:rFonts w:hint="eastAsia" w:ascii="宋体" w:hAnsi="宋体"/>
          <w:color w:val="auto"/>
          <w:szCs w:val="24"/>
          <w:highlight w:val="none"/>
        </w:rPr>
        <w:t>，但最高不超过签约合同价的10%。承包商支付逾期竣工违约金，不免除承包商完成工程及修补缺陷的义务。</w:t>
      </w:r>
    </w:p>
    <w:bookmarkEnd w:id="204"/>
    <w:bookmarkEnd w:id="205"/>
    <w:bookmarkEnd w:id="206"/>
    <w:p>
      <w:pPr>
        <w:pStyle w:val="4"/>
        <w:spacing w:before="240" w:after="120" w:line="360" w:lineRule="auto"/>
        <w:jc w:val="both"/>
        <w:rPr>
          <w:rFonts w:ascii="宋体" w:hAnsi="宋体"/>
          <w:b w:val="0"/>
          <w:color w:val="auto"/>
          <w:sz w:val="28"/>
          <w:szCs w:val="28"/>
          <w:highlight w:val="none"/>
        </w:rPr>
      </w:pPr>
      <w:bookmarkStart w:id="254" w:name="_Toc247085806"/>
      <w:bookmarkStart w:id="255" w:name="_Toc419015711"/>
      <w:bookmarkStart w:id="256" w:name="_Toc9229"/>
      <w:bookmarkStart w:id="257" w:name="_Toc246997034"/>
      <w:bookmarkStart w:id="258" w:name="_Toc296602535"/>
      <w:bookmarkStart w:id="259" w:name="_Toc246996291"/>
      <w:bookmarkStart w:id="260" w:name="_Toc184635110"/>
      <w:r>
        <w:rPr>
          <w:rFonts w:hint="eastAsia" w:ascii="宋体" w:hAnsi="宋体"/>
          <w:b w:val="0"/>
          <w:color w:val="auto"/>
          <w:sz w:val="28"/>
          <w:szCs w:val="28"/>
          <w:highlight w:val="none"/>
        </w:rPr>
        <w:t>5. 工程质量</w:t>
      </w:r>
      <w:bookmarkEnd w:id="254"/>
      <w:bookmarkEnd w:id="255"/>
      <w:bookmarkEnd w:id="256"/>
      <w:bookmarkEnd w:id="257"/>
      <w:bookmarkEnd w:id="258"/>
      <w:bookmarkEnd w:id="259"/>
      <w:bookmarkEnd w:id="260"/>
    </w:p>
    <w:p>
      <w:pPr>
        <w:pStyle w:val="5"/>
        <w:spacing w:before="120" w:after="120" w:line="360" w:lineRule="auto"/>
        <w:jc w:val="left"/>
        <w:rPr>
          <w:rFonts w:ascii="宋体" w:hAnsi="宋体"/>
          <w:color w:val="auto"/>
          <w:sz w:val="24"/>
          <w:szCs w:val="24"/>
          <w:highlight w:val="none"/>
        </w:rPr>
      </w:pPr>
      <w:bookmarkStart w:id="261" w:name="_Toc246997035"/>
      <w:bookmarkStart w:id="262" w:name="_Toc419015712"/>
      <w:bookmarkStart w:id="263" w:name="_Toc246996292"/>
      <w:bookmarkStart w:id="264" w:name="_Toc22683"/>
      <w:bookmarkStart w:id="265" w:name="_Toc296602536"/>
      <w:bookmarkStart w:id="266" w:name="_Toc247085807"/>
      <w:r>
        <w:rPr>
          <w:rFonts w:hint="eastAsia" w:ascii="宋体" w:hAnsi="宋体"/>
          <w:color w:val="auto"/>
          <w:sz w:val="24"/>
          <w:szCs w:val="24"/>
          <w:highlight w:val="none"/>
        </w:rPr>
        <w:t>5.1 工程质量要求</w:t>
      </w:r>
      <w:bookmarkEnd w:id="261"/>
      <w:bookmarkEnd w:id="262"/>
      <w:bookmarkEnd w:id="263"/>
      <w:bookmarkEnd w:id="264"/>
      <w:bookmarkEnd w:id="265"/>
      <w:bookmarkEnd w:id="26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工程质量验收按照合同约定的验收标准执行。本项目质量目标为合格。</w:t>
      </w:r>
    </w:p>
    <w:p>
      <w:pPr>
        <w:pStyle w:val="5"/>
        <w:spacing w:before="120" w:after="120" w:line="360" w:lineRule="auto"/>
        <w:jc w:val="left"/>
        <w:rPr>
          <w:rFonts w:ascii="宋体" w:hAnsi="宋体"/>
          <w:color w:val="auto"/>
          <w:sz w:val="24"/>
          <w:szCs w:val="24"/>
          <w:highlight w:val="none"/>
        </w:rPr>
      </w:pPr>
      <w:bookmarkStart w:id="267" w:name="_Toc246997036"/>
      <w:bookmarkStart w:id="268" w:name="_Toc247085808"/>
      <w:bookmarkStart w:id="269" w:name="_Toc419015713"/>
      <w:bookmarkStart w:id="270" w:name="_Toc48"/>
      <w:bookmarkStart w:id="271" w:name="_Toc246996293"/>
      <w:bookmarkStart w:id="272" w:name="_Toc296602537"/>
      <w:r>
        <w:rPr>
          <w:rFonts w:hint="eastAsia" w:ascii="宋体" w:hAnsi="宋体"/>
          <w:color w:val="auto"/>
          <w:sz w:val="24"/>
          <w:szCs w:val="24"/>
          <w:highlight w:val="none"/>
        </w:rPr>
        <w:t>5.2 采购人的质量检查</w:t>
      </w:r>
      <w:bookmarkEnd w:id="267"/>
      <w:bookmarkEnd w:id="268"/>
      <w:bookmarkEnd w:id="269"/>
      <w:bookmarkEnd w:id="270"/>
      <w:bookmarkEnd w:id="271"/>
      <w:bookmarkEnd w:id="27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采购人有权对工程的所有部位及其施工工艺、材料和工程设备进行检查和检验。采购人的检查和检验，不免除承包商按合同约定应负的责任。</w:t>
      </w:r>
    </w:p>
    <w:p>
      <w:pPr>
        <w:pStyle w:val="5"/>
        <w:spacing w:before="120" w:after="120" w:line="360" w:lineRule="auto"/>
        <w:jc w:val="left"/>
        <w:rPr>
          <w:rFonts w:ascii="宋体" w:hAnsi="宋体"/>
          <w:color w:val="auto"/>
          <w:sz w:val="24"/>
          <w:szCs w:val="24"/>
          <w:highlight w:val="none"/>
        </w:rPr>
      </w:pPr>
      <w:bookmarkStart w:id="273" w:name="_Toc296602538"/>
      <w:bookmarkStart w:id="274" w:name="_Toc247085809"/>
      <w:bookmarkStart w:id="275" w:name="_Toc419015714"/>
      <w:bookmarkStart w:id="276" w:name="_Toc246997037"/>
      <w:bookmarkStart w:id="277" w:name="_Toc246996294"/>
      <w:bookmarkStart w:id="278" w:name="_Toc16099"/>
      <w:r>
        <w:rPr>
          <w:rFonts w:hint="eastAsia" w:ascii="宋体" w:hAnsi="宋体"/>
          <w:color w:val="auto"/>
          <w:sz w:val="24"/>
          <w:szCs w:val="24"/>
          <w:highlight w:val="none"/>
        </w:rPr>
        <w:t>5.3 工程隐蔽部位覆盖前的检查</w:t>
      </w:r>
      <w:bookmarkEnd w:id="273"/>
      <w:bookmarkEnd w:id="274"/>
      <w:bookmarkEnd w:id="275"/>
      <w:bookmarkEnd w:id="276"/>
      <w:bookmarkEnd w:id="277"/>
      <w:bookmarkEnd w:id="27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经承包商自检确认的工程隐蔽部位具备覆盖条件后，承包商应通知采购人进行检查。采购人应按时到场检查。采购人未到场检查的，除采购人另有指示外，承包商可自行完成覆盖工作。无论采购人是否到场检查，对已覆盖的工程隐蔽部位，采购人</w:t>
      </w:r>
      <w:r>
        <w:rPr>
          <w:rFonts w:ascii="宋体" w:hAnsi="宋体"/>
          <w:color w:val="auto"/>
          <w:szCs w:val="24"/>
          <w:highlight w:val="none"/>
        </w:rPr>
        <w:t>可</w:t>
      </w:r>
      <w:r>
        <w:rPr>
          <w:rFonts w:hint="eastAsia" w:ascii="宋体" w:hAnsi="宋体"/>
          <w:color w:val="auto"/>
          <w:szCs w:val="24"/>
          <w:highlight w:val="none"/>
        </w:rPr>
        <w:t>要求承包商对已覆盖的部位进行钻孔探测或重新检验，承包商应遵照执行，并在检验后重新覆盖恢复原状。经检验证明工程质量符合合同要求的，由采购人承担由此增加的费用和（或）工期延误，并支付承包商合理利润；经检验证明工程质量不符合合同要求的，由此增加的费用和（或）工期延误，由承包商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承包商未通知采购人到场检查，私自将工程隐蔽部位覆盖的，采购人有权指示承包商钻孔探测或揭开检查，无论工程隐蔽部位质量是否合格，由此增加的费用和（或）工期延误由承包商承担。</w:t>
      </w:r>
    </w:p>
    <w:p>
      <w:pPr>
        <w:pStyle w:val="5"/>
        <w:spacing w:before="120" w:after="120" w:line="360" w:lineRule="auto"/>
        <w:jc w:val="left"/>
        <w:rPr>
          <w:rFonts w:ascii="宋体" w:hAnsi="宋体"/>
          <w:color w:val="auto"/>
          <w:sz w:val="24"/>
          <w:szCs w:val="24"/>
          <w:highlight w:val="none"/>
        </w:rPr>
      </w:pPr>
      <w:bookmarkStart w:id="279" w:name="_Toc247085810"/>
      <w:bookmarkStart w:id="280" w:name="_Toc296602539"/>
      <w:bookmarkStart w:id="281" w:name="_Toc4836"/>
      <w:bookmarkStart w:id="282" w:name="_Toc419015715"/>
      <w:bookmarkStart w:id="283" w:name="_Toc246997038"/>
      <w:bookmarkStart w:id="284" w:name="_Toc246996295"/>
      <w:r>
        <w:rPr>
          <w:rFonts w:hint="eastAsia" w:ascii="宋体" w:hAnsi="宋体"/>
          <w:color w:val="auto"/>
          <w:sz w:val="24"/>
          <w:szCs w:val="24"/>
          <w:highlight w:val="none"/>
        </w:rPr>
        <w:t>5.4 清除不合格工程</w:t>
      </w:r>
      <w:bookmarkEnd w:id="279"/>
      <w:bookmarkEnd w:id="280"/>
      <w:bookmarkEnd w:id="281"/>
      <w:bookmarkEnd w:id="282"/>
      <w:bookmarkEnd w:id="283"/>
      <w:bookmarkEnd w:id="284"/>
    </w:p>
    <w:p>
      <w:pPr>
        <w:spacing w:line="360" w:lineRule="auto"/>
        <w:ind w:firstLine="480" w:firstLineChars="200"/>
        <w:rPr>
          <w:rFonts w:ascii="宋体" w:hAnsi="宋体"/>
          <w:color w:val="auto"/>
          <w:szCs w:val="24"/>
          <w:highlight w:val="none"/>
        </w:rPr>
      </w:pPr>
      <w:r>
        <w:rPr>
          <w:rFonts w:ascii="宋体" w:hAnsi="宋体"/>
          <w:color w:val="auto"/>
          <w:szCs w:val="24"/>
          <w:highlight w:val="none"/>
        </w:rPr>
        <w:t>由于</w:t>
      </w:r>
      <w:r>
        <w:rPr>
          <w:rFonts w:hint="eastAsia" w:ascii="宋体" w:hAnsi="宋体"/>
          <w:color w:val="auto"/>
          <w:szCs w:val="24"/>
          <w:highlight w:val="none"/>
        </w:rPr>
        <w:t>承包商</w:t>
      </w:r>
      <w:r>
        <w:rPr>
          <w:rFonts w:ascii="宋体" w:hAnsi="宋体"/>
          <w:color w:val="auto"/>
          <w:szCs w:val="24"/>
          <w:highlight w:val="none"/>
        </w:rPr>
        <w:t>的材料、工程设备，或采用施工工艺不符合合同</w:t>
      </w:r>
      <w:r>
        <w:rPr>
          <w:rFonts w:hint="eastAsia" w:ascii="宋体" w:hAnsi="宋体"/>
          <w:color w:val="auto"/>
          <w:szCs w:val="24"/>
          <w:highlight w:val="none"/>
        </w:rPr>
        <w:t>要求</w:t>
      </w:r>
      <w:r>
        <w:rPr>
          <w:rFonts w:ascii="宋体" w:hAnsi="宋体"/>
          <w:color w:val="auto"/>
          <w:szCs w:val="24"/>
          <w:highlight w:val="none"/>
        </w:rPr>
        <w:t>造成的任何</w:t>
      </w:r>
      <w:r>
        <w:rPr>
          <w:rFonts w:hint="eastAsia" w:ascii="宋体" w:hAnsi="宋体"/>
          <w:color w:val="auto"/>
          <w:szCs w:val="24"/>
          <w:highlight w:val="none"/>
        </w:rPr>
        <w:t>损失由承包商承担一切损失</w:t>
      </w:r>
      <w:r>
        <w:rPr>
          <w:rFonts w:ascii="宋体" w:hAnsi="宋体"/>
          <w:color w:val="auto"/>
          <w:szCs w:val="24"/>
          <w:highlight w:val="none"/>
        </w:rPr>
        <w:t>，</w:t>
      </w:r>
      <w:r>
        <w:rPr>
          <w:rFonts w:hint="eastAsia" w:ascii="宋体" w:hAnsi="宋体"/>
          <w:color w:val="auto"/>
          <w:szCs w:val="24"/>
          <w:highlight w:val="none"/>
        </w:rPr>
        <w:t>采购人</w:t>
      </w:r>
      <w:r>
        <w:rPr>
          <w:rFonts w:ascii="宋体" w:hAnsi="宋体"/>
          <w:color w:val="auto"/>
          <w:szCs w:val="24"/>
          <w:highlight w:val="none"/>
        </w:rPr>
        <w:t>可以随时发出指示，要求承包商立即采取措施进行补救，直至达到合同要求的质量标准，由此增加的费用和（或）工期延误由</w:t>
      </w:r>
      <w:r>
        <w:rPr>
          <w:rFonts w:hint="eastAsia" w:ascii="宋体" w:hAnsi="宋体"/>
          <w:color w:val="auto"/>
          <w:szCs w:val="24"/>
          <w:highlight w:val="none"/>
        </w:rPr>
        <w:t>承包商</w:t>
      </w:r>
      <w:r>
        <w:rPr>
          <w:rFonts w:ascii="宋体" w:hAnsi="宋体"/>
          <w:color w:val="auto"/>
          <w:szCs w:val="24"/>
          <w:highlight w:val="none"/>
        </w:rPr>
        <w:t>承担</w:t>
      </w:r>
      <w:r>
        <w:rPr>
          <w:rFonts w:hint="eastAsia" w:ascii="宋体" w:hAnsi="宋体"/>
          <w:color w:val="auto"/>
          <w:szCs w:val="24"/>
          <w:highlight w:val="none"/>
        </w:rPr>
        <w:t>。</w:t>
      </w:r>
    </w:p>
    <w:p>
      <w:pPr>
        <w:pStyle w:val="4"/>
        <w:spacing w:before="240" w:after="120" w:line="360" w:lineRule="auto"/>
        <w:jc w:val="both"/>
        <w:rPr>
          <w:rFonts w:ascii="宋体" w:hAnsi="宋体"/>
          <w:b w:val="0"/>
          <w:color w:val="auto"/>
          <w:sz w:val="28"/>
          <w:szCs w:val="28"/>
          <w:highlight w:val="none"/>
        </w:rPr>
      </w:pPr>
      <w:bookmarkStart w:id="285" w:name="_Toc246997039"/>
      <w:bookmarkStart w:id="286" w:name="_Toc247085811"/>
      <w:bookmarkStart w:id="287" w:name="_Toc419015716"/>
      <w:bookmarkStart w:id="288" w:name="_Toc246996296"/>
      <w:bookmarkStart w:id="289" w:name="_Toc5438"/>
      <w:bookmarkStart w:id="290" w:name="_Toc296602540"/>
      <w:r>
        <w:rPr>
          <w:rFonts w:hint="eastAsia" w:ascii="宋体" w:hAnsi="宋体"/>
          <w:b w:val="0"/>
          <w:color w:val="auto"/>
          <w:sz w:val="28"/>
          <w:szCs w:val="28"/>
          <w:highlight w:val="none"/>
        </w:rPr>
        <w:t>6. 试验和检验</w:t>
      </w:r>
      <w:bookmarkEnd w:id="285"/>
      <w:bookmarkEnd w:id="286"/>
      <w:bookmarkEnd w:id="287"/>
      <w:bookmarkEnd w:id="288"/>
      <w:bookmarkEnd w:id="289"/>
      <w:bookmarkEnd w:id="290"/>
    </w:p>
    <w:p>
      <w:pPr>
        <w:pStyle w:val="5"/>
        <w:spacing w:before="120" w:after="120" w:line="360" w:lineRule="auto"/>
        <w:jc w:val="left"/>
        <w:rPr>
          <w:rFonts w:ascii="宋体" w:hAnsi="宋体"/>
          <w:color w:val="auto"/>
          <w:sz w:val="24"/>
          <w:szCs w:val="24"/>
          <w:highlight w:val="none"/>
        </w:rPr>
      </w:pPr>
      <w:bookmarkStart w:id="291" w:name="_Toc419015717"/>
      <w:bookmarkStart w:id="292" w:name="_Toc152045703"/>
      <w:bookmarkStart w:id="293" w:name="_Toc152042481"/>
      <w:bookmarkStart w:id="294" w:name="_Toc179632721"/>
      <w:bookmarkStart w:id="295" w:name="_Toc296602541"/>
      <w:bookmarkStart w:id="296" w:name="_Toc144974672"/>
      <w:bookmarkStart w:id="297" w:name="_Toc18190"/>
      <w:r>
        <w:rPr>
          <w:rFonts w:hint="eastAsia" w:ascii="宋体" w:hAnsi="宋体"/>
          <w:color w:val="auto"/>
          <w:sz w:val="24"/>
          <w:szCs w:val="24"/>
          <w:highlight w:val="none"/>
        </w:rPr>
        <w:t>6.1 材料、工程设备和工程的试验和检验</w:t>
      </w:r>
      <w:bookmarkEnd w:id="291"/>
      <w:bookmarkEnd w:id="292"/>
      <w:bookmarkEnd w:id="293"/>
      <w:bookmarkEnd w:id="294"/>
      <w:bookmarkEnd w:id="295"/>
      <w:bookmarkEnd w:id="296"/>
      <w:bookmarkEnd w:id="29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6.1.1 承包商应按合同约定进行材料、工程设备和工程的试验和检验，并为采购人对上述材料、工程设备和工程的质量检查提供必要的试验资料和原始记录。按合同约定应由采购人与承包商共同进行试验和检验的，由承包商负责提供必要的试验资料和原始记录。</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6.1.2 采购人未按合同约定派员参加试验和检验的，除采购人另有指示外，承包商可自行试验和检验，并应立即将试验和检验结果报送采购人，采购人应签字确认。</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6.1.3 采购人对承包商的试验和检验结果有疑问的，或为查清承包商试验和检验成果的可靠性要求承包商重新试验和检验的，可按合同约定由采购人与承包商共同进行。重新试验和检验的结果证明该项材料、工程设备或工程的质量不符合合同要求的，由此增加的费用和（或）工期延误由承包商承担；重新试验和检验结果证明该项材料、工程设备和工程符合合同要求，由采购人承担由此增加的费用和（或）工期延误，并支付承包商合理利润。</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6.1.4采购人有权在合同执行期间随时抽检项目主要设备、材料和工程施工质量。</w:t>
      </w:r>
    </w:p>
    <w:p>
      <w:pPr>
        <w:pStyle w:val="5"/>
        <w:spacing w:before="120" w:after="120" w:line="360" w:lineRule="auto"/>
        <w:jc w:val="left"/>
        <w:rPr>
          <w:rFonts w:ascii="宋体" w:hAnsi="宋体"/>
          <w:color w:val="auto"/>
          <w:sz w:val="24"/>
          <w:szCs w:val="24"/>
          <w:highlight w:val="none"/>
        </w:rPr>
      </w:pPr>
      <w:bookmarkStart w:id="298" w:name="_Toc179632722"/>
      <w:bookmarkStart w:id="299" w:name="_Toc11067"/>
      <w:bookmarkStart w:id="300" w:name="_Toc152045704"/>
      <w:bookmarkStart w:id="301" w:name="_Toc152042482"/>
      <w:bookmarkStart w:id="302" w:name="_Toc144974673"/>
      <w:bookmarkStart w:id="303" w:name="_Toc419015718"/>
      <w:bookmarkStart w:id="304" w:name="_Toc296602542"/>
      <w:r>
        <w:rPr>
          <w:rFonts w:hint="eastAsia" w:ascii="宋体" w:hAnsi="宋体"/>
          <w:color w:val="auto"/>
          <w:sz w:val="24"/>
          <w:szCs w:val="24"/>
          <w:highlight w:val="none"/>
        </w:rPr>
        <w:t>6.2 现场材料试验</w:t>
      </w:r>
      <w:bookmarkEnd w:id="298"/>
      <w:bookmarkEnd w:id="299"/>
      <w:bookmarkEnd w:id="300"/>
      <w:bookmarkEnd w:id="301"/>
      <w:bookmarkEnd w:id="302"/>
      <w:bookmarkEnd w:id="303"/>
      <w:bookmarkEnd w:id="30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6.2.1 承包商根据合同约定或采购人指示进行的现场材料试验，应由承包商提供试验场所、试验人员、试验设备器材以及其他必要的试验条件。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6.2.2 采购人在必要时可以使用承包商的试验场所、试验设备器材以及其他试验条件，进行以工程质量检查为目的的复核性材料试验，承包商应予以协助。</w:t>
      </w:r>
    </w:p>
    <w:p>
      <w:pPr>
        <w:pStyle w:val="4"/>
        <w:spacing w:before="240" w:after="120" w:line="360" w:lineRule="auto"/>
        <w:jc w:val="both"/>
        <w:rPr>
          <w:rFonts w:ascii="宋体" w:hAnsi="宋体"/>
          <w:b w:val="0"/>
          <w:color w:val="auto"/>
          <w:sz w:val="28"/>
          <w:szCs w:val="28"/>
          <w:highlight w:val="none"/>
        </w:rPr>
      </w:pPr>
      <w:bookmarkStart w:id="305" w:name="_Toc246997040"/>
      <w:bookmarkStart w:id="306" w:name="_Toc184635112"/>
      <w:bookmarkStart w:id="307" w:name="_Toc25929"/>
      <w:bookmarkStart w:id="308" w:name="_Toc246996297"/>
      <w:bookmarkStart w:id="309" w:name="_Toc247085812"/>
      <w:bookmarkStart w:id="310" w:name="_Toc296602543"/>
      <w:bookmarkStart w:id="311" w:name="_Toc419015719"/>
      <w:r>
        <w:rPr>
          <w:rFonts w:hint="eastAsia" w:ascii="宋体" w:hAnsi="宋体"/>
          <w:b w:val="0"/>
          <w:color w:val="auto"/>
          <w:sz w:val="28"/>
          <w:szCs w:val="28"/>
          <w:highlight w:val="none"/>
        </w:rPr>
        <w:t>7. 变更</w:t>
      </w:r>
      <w:bookmarkEnd w:id="305"/>
      <w:bookmarkEnd w:id="306"/>
      <w:bookmarkEnd w:id="307"/>
      <w:bookmarkEnd w:id="308"/>
      <w:bookmarkEnd w:id="309"/>
      <w:bookmarkEnd w:id="310"/>
      <w:bookmarkEnd w:id="311"/>
    </w:p>
    <w:p>
      <w:pPr>
        <w:pStyle w:val="5"/>
        <w:spacing w:before="120" w:after="120" w:line="360" w:lineRule="auto"/>
        <w:jc w:val="left"/>
        <w:rPr>
          <w:rFonts w:ascii="宋体" w:hAnsi="宋体"/>
          <w:color w:val="auto"/>
          <w:sz w:val="24"/>
          <w:szCs w:val="24"/>
          <w:highlight w:val="none"/>
        </w:rPr>
      </w:pPr>
      <w:bookmarkStart w:id="312" w:name="_Toc18703"/>
      <w:bookmarkStart w:id="313" w:name="_Toc247085813"/>
      <w:bookmarkStart w:id="314" w:name="_Toc296602544"/>
      <w:bookmarkStart w:id="315" w:name="_Toc419015720"/>
      <w:bookmarkStart w:id="316" w:name="_Toc246997041"/>
      <w:bookmarkStart w:id="317" w:name="_Toc246996298"/>
      <w:r>
        <w:rPr>
          <w:rFonts w:hint="eastAsia" w:ascii="宋体" w:hAnsi="宋体"/>
          <w:color w:val="auto"/>
          <w:sz w:val="24"/>
          <w:szCs w:val="24"/>
          <w:highlight w:val="none"/>
        </w:rPr>
        <w:t>7.1 变更权</w:t>
      </w:r>
      <w:bookmarkEnd w:id="312"/>
      <w:bookmarkEnd w:id="313"/>
      <w:bookmarkEnd w:id="314"/>
      <w:bookmarkEnd w:id="315"/>
      <w:bookmarkEnd w:id="316"/>
      <w:bookmarkEnd w:id="31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在履行合同过程中，采购人可按第7.2款约定的变更程序向承包商做出变更指示，承包商应遵照执行。</w:t>
      </w:r>
    </w:p>
    <w:p>
      <w:pPr>
        <w:pStyle w:val="5"/>
        <w:spacing w:before="120" w:after="120" w:line="360" w:lineRule="auto"/>
        <w:jc w:val="left"/>
        <w:rPr>
          <w:rFonts w:ascii="宋体" w:hAnsi="宋体"/>
          <w:color w:val="auto"/>
          <w:sz w:val="24"/>
          <w:szCs w:val="24"/>
          <w:highlight w:val="none"/>
        </w:rPr>
      </w:pPr>
      <w:bookmarkStart w:id="318" w:name="_Toc419015721"/>
      <w:bookmarkStart w:id="319" w:name="_Toc247085814"/>
      <w:bookmarkStart w:id="320" w:name="_Toc22238"/>
      <w:bookmarkStart w:id="321" w:name="_Toc296602545"/>
      <w:bookmarkStart w:id="322" w:name="_Toc246997042"/>
      <w:bookmarkStart w:id="323" w:name="_Toc246996299"/>
      <w:r>
        <w:rPr>
          <w:rFonts w:hint="eastAsia" w:ascii="宋体" w:hAnsi="宋体"/>
          <w:color w:val="auto"/>
          <w:sz w:val="24"/>
          <w:szCs w:val="24"/>
          <w:highlight w:val="none"/>
        </w:rPr>
        <w:t>7.2 变更程序</w:t>
      </w:r>
      <w:bookmarkEnd w:id="318"/>
      <w:bookmarkEnd w:id="319"/>
      <w:bookmarkEnd w:id="320"/>
      <w:bookmarkEnd w:id="321"/>
      <w:bookmarkEnd w:id="322"/>
      <w:bookmarkEnd w:id="32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w:t>
      </w:r>
      <w:r>
        <w:rPr>
          <w:rFonts w:ascii="宋体" w:hAnsi="宋体"/>
          <w:color w:val="auto"/>
          <w:szCs w:val="24"/>
          <w:highlight w:val="none"/>
        </w:rPr>
        <w:t>应在</w:t>
      </w:r>
      <w:r>
        <w:rPr>
          <w:rFonts w:hint="eastAsia" w:ascii="宋体" w:hAnsi="宋体"/>
          <w:color w:val="auto"/>
          <w:szCs w:val="24"/>
          <w:highlight w:val="none"/>
        </w:rPr>
        <w:t>收到变更指示7日</w:t>
      </w:r>
      <w:r>
        <w:rPr>
          <w:rFonts w:ascii="宋体" w:hAnsi="宋体"/>
          <w:color w:val="auto"/>
          <w:szCs w:val="24"/>
          <w:highlight w:val="none"/>
        </w:rPr>
        <w:t>内，向</w:t>
      </w:r>
      <w:r>
        <w:rPr>
          <w:rFonts w:hint="eastAsia" w:ascii="宋体" w:hAnsi="宋体"/>
          <w:color w:val="auto"/>
          <w:szCs w:val="24"/>
          <w:highlight w:val="none"/>
        </w:rPr>
        <w:t>采购人</w:t>
      </w:r>
      <w:r>
        <w:rPr>
          <w:rFonts w:ascii="宋体" w:hAnsi="宋体"/>
          <w:color w:val="auto"/>
          <w:szCs w:val="24"/>
          <w:highlight w:val="none"/>
        </w:rPr>
        <w:t>提交</w:t>
      </w:r>
      <w:r>
        <w:rPr>
          <w:rFonts w:hint="eastAsia" w:ascii="宋体" w:hAnsi="宋体"/>
          <w:color w:val="auto"/>
          <w:szCs w:val="24"/>
          <w:highlight w:val="none"/>
        </w:rPr>
        <w:t>变更报价书</w:t>
      </w:r>
      <w:r>
        <w:rPr>
          <w:rFonts w:ascii="宋体" w:hAnsi="宋体"/>
          <w:color w:val="auto"/>
          <w:szCs w:val="24"/>
          <w:highlight w:val="none"/>
        </w:rPr>
        <w:t>。</w:t>
      </w:r>
      <w:r>
        <w:rPr>
          <w:rFonts w:hint="eastAsia" w:ascii="宋体" w:hAnsi="宋体"/>
          <w:color w:val="auto"/>
          <w:szCs w:val="24"/>
          <w:highlight w:val="none"/>
        </w:rPr>
        <w:t>采购人应在收到承包商变更报价书后7日内，</w:t>
      </w:r>
      <w:r>
        <w:rPr>
          <w:rFonts w:ascii="宋体" w:hAnsi="宋体"/>
          <w:color w:val="auto"/>
          <w:szCs w:val="24"/>
          <w:highlight w:val="none"/>
        </w:rPr>
        <w:t>与</w:t>
      </w:r>
      <w:r>
        <w:rPr>
          <w:rFonts w:hint="eastAsia" w:ascii="宋体" w:hAnsi="宋体"/>
          <w:color w:val="auto"/>
          <w:szCs w:val="24"/>
          <w:highlight w:val="none"/>
        </w:rPr>
        <w:t>承包商</w:t>
      </w:r>
      <w:r>
        <w:rPr>
          <w:rFonts w:ascii="宋体" w:hAnsi="宋体"/>
          <w:color w:val="auto"/>
          <w:szCs w:val="24"/>
          <w:highlight w:val="none"/>
        </w:rPr>
        <w:t>共同商定此估价。</w:t>
      </w:r>
    </w:p>
    <w:p>
      <w:pPr>
        <w:pStyle w:val="4"/>
        <w:spacing w:before="240" w:after="120" w:line="360" w:lineRule="auto"/>
        <w:jc w:val="both"/>
        <w:rPr>
          <w:rFonts w:ascii="宋体" w:hAnsi="宋体"/>
          <w:b w:val="0"/>
          <w:color w:val="auto"/>
          <w:sz w:val="28"/>
          <w:szCs w:val="28"/>
          <w:highlight w:val="none"/>
        </w:rPr>
      </w:pPr>
      <w:bookmarkStart w:id="324" w:name="_Toc419015725"/>
      <w:bookmarkStart w:id="325" w:name="_Toc184635114"/>
      <w:bookmarkStart w:id="326" w:name="_Toc30010"/>
      <w:bookmarkStart w:id="327" w:name="_Toc247085819"/>
      <w:bookmarkStart w:id="328" w:name="_Toc246996304"/>
      <w:bookmarkStart w:id="329" w:name="_Toc246997047"/>
      <w:bookmarkStart w:id="330" w:name="_Toc296602549"/>
      <w:r>
        <w:rPr>
          <w:rFonts w:hint="eastAsia" w:ascii="宋体" w:hAnsi="宋体"/>
          <w:b w:val="0"/>
          <w:color w:val="auto"/>
          <w:sz w:val="28"/>
          <w:szCs w:val="28"/>
          <w:highlight w:val="none"/>
        </w:rPr>
        <w:t>8. 计量与支付</w:t>
      </w:r>
      <w:bookmarkEnd w:id="324"/>
      <w:bookmarkEnd w:id="325"/>
      <w:bookmarkEnd w:id="326"/>
      <w:bookmarkEnd w:id="327"/>
      <w:bookmarkEnd w:id="328"/>
      <w:bookmarkEnd w:id="329"/>
      <w:bookmarkEnd w:id="330"/>
    </w:p>
    <w:p>
      <w:pPr>
        <w:pStyle w:val="5"/>
        <w:spacing w:before="120" w:after="120" w:line="360" w:lineRule="auto"/>
        <w:jc w:val="left"/>
        <w:rPr>
          <w:rFonts w:ascii="宋体" w:hAnsi="宋体"/>
          <w:color w:val="auto"/>
          <w:sz w:val="24"/>
          <w:szCs w:val="24"/>
          <w:highlight w:val="none"/>
        </w:rPr>
      </w:pPr>
      <w:bookmarkStart w:id="331" w:name="_Toc419015726"/>
      <w:bookmarkStart w:id="332" w:name="_Toc10560"/>
      <w:bookmarkStart w:id="333" w:name="_Toc296602550"/>
      <w:bookmarkStart w:id="334" w:name="_Toc247085820"/>
      <w:bookmarkStart w:id="335" w:name="_Toc246996305"/>
      <w:bookmarkStart w:id="336" w:name="_Toc246997048"/>
      <w:r>
        <w:rPr>
          <w:rFonts w:hint="eastAsia" w:ascii="宋体" w:hAnsi="宋体"/>
          <w:color w:val="auto"/>
          <w:sz w:val="24"/>
          <w:szCs w:val="24"/>
          <w:highlight w:val="none"/>
        </w:rPr>
        <w:t>8.1 计量</w:t>
      </w:r>
      <w:bookmarkEnd w:id="331"/>
      <w:bookmarkEnd w:id="332"/>
      <w:bookmarkEnd w:id="333"/>
      <w:bookmarkEnd w:id="334"/>
      <w:bookmarkEnd w:id="335"/>
      <w:bookmarkEnd w:id="336"/>
    </w:p>
    <w:p>
      <w:pPr>
        <w:spacing w:line="360" w:lineRule="auto"/>
        <w:ind w:firstLine="480" w:firstLineChars="200"/>
        <w:rPr>
          <w:rFonts w:ascii="宋体" w:hAnsi="宋体"/>
          <w:color w:val="auto"/>
          <w:szCs w:val="24"/>
          <w:highlight w:val="none"/>
        </w:rPr>
      </w:pPr>
      <w:bookmarkStart w:id="337" w:name="_Toc246997049"/>
      <w:bookmarkStart w:id="338" w:name="_Toc296602551"/>
      <w:bookmarkStart w:id="339" w:name="_Toc247085821"/>
      <w:bookmarkStart w:id="340" w:name="_Toc246996306"/>
      <w:r>
        <w:rPr>
          <w:rFonts w:hint="eastAsia" w:ascii="宋体" w:hAnsi="宋体"/>
          <w:color w:val="auto"/>
          <w:szCs w:val="24"/>
          <w:highlight w:val="none"/>
        </w:rPr>
        <w:t>8.1.1</w:t>
      </w:r>
      <w:r>
        <w:rPr>
          <w:rFonts w:ascii="宋体" w:hAnsi="宋体"/>
          <w:color w:val="auto"/>
          <w:szCs w:val="24"/>
          <w:highlight w:val="none"/>
        </w:rPr>
        <w:t>承包商完成工程量清单中的工程量后，</w:t>
      </w:r>
      <w:r>
        <w:rPr>
          <w:rFonts w:hint="eastAsia" w:ascii="宋体" w:hAnsi="宋体"/>
          <w:color w:val="auto"/>
          <w:szCs w:val="24"/>
          <w:highlight w:val="none"/>
        </w:rPr>
        <w:t>采购人</w:t>
      </w:r>
      <w:r>
        <w:rPr>
          <w:rFonts w:ascii="宋体" w:hAnsi="宋体"/>
          <w:color w:val="auto"/>
          <w:szCs w:val="24"/>
          <w:highlight w:val="none"/>
        </w:rPr>
        <w:t>应要求承包商派员共同对历次计量报表进行汇总，以核实最终结算工程量。</w:t>
      </w:r>
      <w:r>
        <w:rPr>
          <w:rFonts w:hint="eastAsia" w:ascii="宋体" w:hAnsi="宋体"/>
          <w:color w:val="auto"/>
          <w:szCs w:val="24"/>
          <w:highlight w:val="none"/>
        </w:rPr>
        <w:t>采购人</w:t>
      </w:r>
      <w:r>
        <w:rPr>
          <w:rFonts w:ascii="宋体" w:hAnsi="宋体"/>
          <w:color w:val="auto"/>
          <w:szCs w:val="24"/>
          <w:highlight w:val="none"/>
        </w:rPr>
        <w:t>可要求承包商提供补充计量资料，以确定最后一次进度付款的准确工程量。承包商未按</w:t>
      </w:r>
      <w:r>
        <w:rPr>
          <w:rFonts w:hint="eastAsia" w:ascii="宋体" w:hAnsi="宋体"/>
          <w:color w:val="auto"/>
          <w:szCs w:val="24"/>
          <w:highlight w:val="none"/>
        </w:rPr>
        <w:t>采购人</w:t>
      </w:r>
      <w:r>
        <w:rPr>
          <w:rFonts w:ascii="宋体" w:hAnsi="宋体"/>
          <w:color w:val="auto"/>
          <w:szCs w:val="24"/>
          <w:highlight w:val="none"/>
        </w:rPr>
        <w:t>要求派员参加的，应认可</w:t>
      </w:r>
      <w:r>
        <w:rPr>
          <w:rFonts w:hint="eastAsia" w:ascii="宋体" w:hAnsi="宋体"/>
          <w:color w:val="auto"/>
          <w:szCs w:val="24"/>
          <w:highlight w:val="none"/>
        </w:rPr>
        <w:t>采购人</w:t>
      </w:r>
      <w:r>
        <w:rPr>
          <w:rFonts w:ascii="宋体" w:hAnsi="宋体"/>
          <w:color w:val="auto"/>
          <w:szCs w:val="24"/>
          <w:highlight w:val="none"/>
        </w:rPr>
        <w:t>核实的工程量。</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8.1.2采购人</w:t>
      </w:r>
      <w:r>
        <w:rPr>
          <w:rFonts w:ascii="宋体" w:hAnsi="宋体"/>
          <w:color w:val="auto"/>
          <w:szCs w:val="24"/>
          <w:highlight w:val="none"/>
        </w:rPr>
        <w:t>应在收到承包商提交的工程量报表后的</w:t>
      </w:r>
      <w:r>
        <w:rPr>
          <w:rFonts w:hint="eastAsia" w:ascii="宋体" w:hAnsi="宋体"/>
          <w:color w:val="auto"/>
          <w:szCs w:val="24"/>
          <w:highlight w:val="none"/>
        </w:rPr>
        <w:t>7日</w:t>
      </w:r>
      <w:r>
        <w:rPr>
          <w:rFonts w:ascii="宋体" w:hAnsi="宋体"/>
          <w:color w:val="auto"/>
          <w:szCs w:val="24"/>
          <w:highlight w:val="none"/>
        </w:rPr>
        <w:t>内进行复核。</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8.1.3</w:t>
      </w:r>
      <w:r>
        <w:rPr>
          <w:rFonts w:ascii="宋体" w:hAnsi="宋体"/>
          <w:color w:val="auto"/>
          <w:szCs w:val="24"/>
          <w:highlight w:val="none"/>
        </w:rPr>
        <w:t>承包商未在已标价工程量清单中填入单价或总额价的工程子目，将被认为其已包含在本合同的总额价中，采购人将不单独支付。</w:t>
      </w:r>
      <w:bookmarkStart w:id="341" w:name="_Toc419015727"/>
    </w:p>
    <w:p>
      <w:pPr>
        <w:pStyle w:val="5"/>
        <w:spacing w:before="120" w:after="120" w:line="360" w:lineRule="auto"/>
        <w:jc w:val="left"/>
        <w:rPr>
          <w:rFonts w:ascii="宋体" w:hAnsi="宋体"/>
          <w:color w:val="auto"/>
          <w:sz w:val="24"/>
          <w:szCs w:val="24"/>
          <w:highlight w:val="none"/>
        </w:rPr>
      </w:pPr>
      <w:bookmarkStart w:id="342" w:name="_Toc27787"/>
      <w:r>
        <w:rPr>
          <w:rFonts w:hint="eastAsia" w:ascii="宋体" w:hAnsi="宋体"/>
          <w:color w:val="auto"/>
          <w:sz w:val="24"/>
          <w:szCs w:val="24"/>
          <w:highlight w:val="none"/>
        </w:rPr>
        <w:t xml:space="preserve">8.2 </w:t>
      </w:r>
      <w:bookmarkEnd w:id="337"/>
      <w:bookmarkEnd w:id="338"/>
      <w:bookmarkEnd w:id="339"/>
      <w:bookmarkEnd w:id="340"/>
      <w:bookmarkEnd w:id="341"/>
      <w:r>
        <w:rPr>
          <w:rFonts w:hint="eastAsia" w:ascii="宋体" w:hAnsi="宋体"/>
          <w:color w:val="auto"/>
          <w:sz w:val="24"/>
          <w:szCs w:val="24"/>
          <w:highlight w:val="none"/>
        </w:rPr>
        <w:t>采购款项支付</w:t>
      </w:r>
      <w:bookmarkEnd w:id="34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8.2.1</w:t>
      </w:r>
      <w:r>
        <w:rPr>
          <w:rFonts w:ascii="宋体" w:hAnsi="宋体"/>
          <w:color w:val="auto"/>
          <w:szCs w:val="24"/>
          <w:highlight w:val="none"/>
        </w:rPr>
        <w:t>承包商应在每个付款周期内，按采购人提供的进度付款申请书的格式，向</w:t>
      </w:r>
      <w:r>
        <w:rPr>
          <w:rFonts w:hint="eastAsia" w:ascii="宋体" w:hAnsi="宋体"/>
          <w:color w:val="auto"/>
          <w:szCs w:val="24"/>
          <w:highlight w:val="none"/>
        </w:rPr>
        <w:t>采购人</w:t>
      </w:r>
      <w:r>
        <w:rPr>
          <w:rFonts w:ascii="宋体" w:hAnsi="宋体"/>
          <w:color w:val="auto"/>
          <w:szCs w:val="24"/>
          <w:highlight w:val="none"/>
        </w:rPr>
        <w:t>提交进度付款申请单，并附相应的支持性证明文件。进度付款申请单一式三份。</w:t>
      </w:r>
    </w:p>
    <w:p>
      <w:pPr>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8.2.2本项目工程进度付款。</w:t>
      </w:r>
    </w:p>
    <w:p>
      <w:pPr>
        <w:pStyle w:val="2"/>
        <w:rPr>
          <w:rFonts w:hint="eastAsia"/>
          <w:color w:val="auto"/>
          <w:highlight w:val="none"/>
          <w:lang w:val="en-US" w:eastAsia="zh-CN"/>
        </w:rPr>
      </w:pPr>
      <w:r>
        <w:rPr>
          <w:rFonts w:hint="eastAsia"/>
          <w:color w:val="auto"/>
          <w:highlight w:val="none"/>
          <w:lang w:val="en-US" w:eastAsia="zh-CN"/>
        </w:rPr>
        <w:t>合同总价为</w:t>
      </w:r>
      <w:r>
        <w:rPr>
          <w:rFonts w:hint="eastAsia"/>
          <w:color w:val="auto"/>
          <w:highlight w:val="none"/>
          <w:u w:val="single"/>
          <w:lang w:val="en-US" w:eastAsia="zh-CN"/>
        </w:rPr>
        <w:t xml:space="preserve">   元</w:t>
      </w:r>
      <w:r>
        <w:rPr>
          <w:rFonts w:hint="eastAsia"/>
          <w:color w:val="auto"/>
          <w:highlight w:val="none"/>
          <w:lang w:val="en-US" w:eastAsia="zh-CN"/>
        </w:rPr>
        <w:t xml:space="preserve"> ；其中材料费</w:t>
      </w:r>
      <w:r>
        <w:rPr>
          <w:rFonts w:hint="eastAsia"/>
          <w:color w:val="auto"/>
          <w:highlight w:val="none"/>
          <w:u w:val="single"/>
          <w:lang w:val="en-US" w:eastAsia="zh-CN"/>
        </w:rPr>
        <w:t xml:space="preserve">    </w:t>
      </w:r>
      <w:r>
        <w:rPr>
          <w:rFonts w:hint="eastAsia"/>
          <w:color w:val="auto"/>
          <w:highlight w:val="none"/>
          <w:lang w:val="en-US" w:eastAsia="zh-CN"/>
        </w:rPr>
        <w:t>元和施工费</w:t>
      </w:r>
      <w:bookmarkStart w:id="343" w:name="_Toc247085823"/>
      <w:bookmarkStart w:id="344" w:name="_Toc246996308"/>
      <w:bookmarkStart w:id="345" w:name="_Toc296602553"/>
      <w:bookmarkStart w:id="346" w:name="_Toc419015729"/>
      <w:bookmarkStart w:id="347" w:name="_Toc246997051"/>
      <w:r>
        <w:rPr>
          <w:rFonts w:hint="eastAsia"/>
          <w:color w:val="auto"/>
          <w:highlight w:val="none"/>
          <w:u w:val="single"/>
          <w:lang w:val="en-US" w:eastAsia="zh-CN"/>
        </w:rPr>
        <w:t xml:space="preserve">     </w:t>
      </w:r>
      <w:r>
        <w:rPr>
          <w:rFonts w:hint="eastAsia"/>
          <w:color w:val="auto"/>
          <w:highlight w:val="none"/>
          <w:lang w:val="en-US" w:eastAsia="zh-CN"/>
        </w:rPr>
        <w:t xml:space="preserve">元  </w:t>
      </w:r>
    </w:p>
    <w:p>
      <w:pPr>
        <w:pStyle w:val="2"/>
        <w:rPr>
          <w:rFonts w:ascii="宋体" w:hAnsi="宋体"/>
          <w:color w:val="auto"/>
          <w:szCs w:val="24"/>
          <w:highlight w:val="none"/>
        </w:rPr>
      </w:pPr>
      <w:r>
        <w:rPr>
          <w:rFonts w:hint="eastAsia" w:ascii="宋体" w:hAnsi="宋体"/>
          <w:color w:val="auto"/>
          <w:szCs w:val="24"/>
          <w:highlight w:val="none"/>
        </w:rPr>
        <w:t>（1）承包商向采购人提供了</w:t>
      </w:r>
      <w:r>
        <w:rPr>
          <w:rFonts w:hint="eastAsia" w:ascii="宋体" w:hAnsi="宋体"/>
          <w:color w:val="auto"/>
          <w:szCs w:val="24"/>
          <w:highlight w:val="none"/>
          <w:lang w:val="en-US" w:eastAsia="zh-CN"/>
        </w:rPr>
        <w:t>施工组织</w:t>
      </w:r>
      <w:r>
        <w:rPr>
          <w:rFonts w:hint="eastAsia" w:ascii="宋体" w:hAnsi="宋体"/>
          <w:color w:val="auto"/>
          <w:szCs w:val="24"/>
          <w:highlight w:val="none"/>
        </w:rPr>
        <w:t>方案和</w:t>
      </w:r>
      <w:r>
        <w:rPr>
          <w:rFonts w:hint="eastAsia" w:ascii="宋体" w:hAnsi="宋体"/>
          <w:color w:val="auto"/>
          <w:szCs w:val="24"/>
          <w:highlight w:val="none"/>
          <w:lang w:val="en-US" w:eastAsia="zh-CN"/>
        </w:rPr>
        <w:t>全部</w:t>
      </w:r>
      <w:r>
        <w:rPr>
          <w:rFonts w:hint="eastAsia" w:ascii="宋体" w:hAnsi="宋体"/>
          <w:color w:val="auto"/>
          <w:szCs w:val="24"/>
          <w:highlight w:val="none"/>
        </w:rPr>
        <w:t>材料到场后，经取得采购人批准，承包商在提供相应增值税专用发票后，采购人在10个工作日内向承包商支付</w:t>
      </w:r>
      <w:r>
        <w:rPr>
          <w:rFonts w:hint="eastAsia" w:ascii="宋体" w:hAnsi="宋体"/>
          <w:color w:val="auto"/>
          <w:szCs w:val="24"/>
          <w:highlight w:val="none"/>
          <w:lang w:val="en-US" w:eastAsia="zh-CN"/>
        </w:rPr>
        <w:t>材料费</w:t>
      </w:r>
      <w:r>
        <w:rPr>
          <w:rFonts w:hint="eastAsia" w:ascii="宋体" w:hAnsi="宋体"/>
          <w:color w:val="auto"/>
          <w:szCs w:val="24"/>
          <w:highlight w:val="none"/>
        </w:rPr>
        <w:t>的</w:t>
      </w:r>
      <w:r>
        <w:rPr>
          <w:rFonts w:hint="eastAsia" w:ascii="宋体" w:hAnsi="宋体"/>
          <w:color w:val="auto"/>
          <w:szCs w:val="24"/>
          <w:highlight w:val="none"/>
          <w:lang w:val="en-US" w:eastAsia="zh-CN"/>
        </w:rPr>
        <w:t>9</w:t>
      </w:r>
      <w:r>
        <w:rPr>
          <w:rFonts w:hint="eastAsia" w:ascii="宋体" w:hAnsi="宋体"/>
          <w:color w:val="auto"/>
          <w:szCs w:val="24"/>
          <w:highlight w:val="none"/>
        </w:rPr>
        <w:t>0%。</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（2）光伏发电系统全部安装完成并运行，双方完成竣工验收后，承包商在提供相应增值税专用发票后，采购人在10个工作日内向承包商支付</w:t>
      </w:r>
      <w:r>
        <w:rPr>
          <w:rFonts w:hint="eastAsia" w:ascii="宋体" w:hAnsi="宋体"/>
          <w:color w:val="auto"/>
          <w:szCs w:val="24"/>
          <w:highlight w:val="none"/>
          <w:lang w:val="en-US" w:eastAsia="zh-CN"/>
        </w:rPr>
        <w:t>材料费</w:t>
      </w:r>
      <w:r>
        <w:rPr>
          <w:rFonts w:hint="eastAsia" w:ascii="宋体" w:hAnsi="宋体"/>
          <w:color w:val="auto"/>
          <w:szCs w:val="24"/>
          <w:highlight w:val="none"/>
        </w:rPr>
        <w:t>的</w:t>
      </w:r>
      <w:r>
        <w:rPr>
          <w:rFonts w:hint="eastAsia" w:ascii="宋体" w:hAnsi="宋体"/>
          <w:color w:val="auto"/>
          <w:szCs w:val="24"/>
          <w:highlight w:val="none"/>
          <w:lang w:val="en-US" w:eastAsia="zh-CN"/>
        </w:rPr>
        <w:t>7</w:t>
      </w:r>
      <w:r>
        <w:rPr>
          <w:rFonts w:hint="eastAsia" w:ascii="宋体" w:hAnsi="宋体"/>
          <w:color w:val="auto"/>
          <w:szCs w:val="24"/>
          <w:highlight w:val="none"/>
        </w:rPr>
        <w:t>%</w:t>
      </w:r>
      <w:r>
        <w:rPr>
          <w:rFonts w:hint="eastAsia" w:ascii="宋体" w:hAnsi="宋体"/>
          <w:color w:val="auto"/>
          <w:szCs w:val="24"/>
          <w:highlight w:val="none"/>
          <w:lang w:val="en-US" w:eastAsia="zh-CN"/>
        </w:rPr>
        <w:t>及施工费</w:t>
      </w:r>
      <w:r>
        <w:rPr>
          <w:rFonts w:hint="eastAsia" w:ascii="宋体" w:hAnsi="宋体"/>
          <w:color w:val="auto"/>
          <w:szCs w:val="24"/>
          <w:highlight w:val="none"/>
        </w:rPr>
        <w:t>的</w:t>
      </w:r>
      <w:r>
        <w:rPr>
          <w:rFonts w:hint="eastAsia" w:ascii="宋体" w:hAnsi="宋体"/>
          <w:color w:val="auto"/>
          <w:szCs w:val="24"/>
          <w:highlight w:val="none"/>
          <w:lang w:val="en-US" w:eastAsia="zh-CN"/>
        </w:rPr>
        <w:t>9</w:t>
      </w:r>
      <w:r>
        <w:rPr>
          <w:rFonts w:hint="eastAsia" w:ascii="宋体" w:hAnsi="宋体"/>
          <w:color w:val="auto"/>
          <w:szCs w:val="24"/>
          <w:highlight w:val="none"/>
        </w:rPr>
        <w:t>7%。</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（3）剩余合同总价的3%，作为质量保证金，按第8.3款的规定办理。</w:t>
      </w:r>
    </w:p>
    <w:p>
      <w:pPr>
        <w:pStyle w:val="5"/>
        <w:spacing w:before="120" w:after="120" w:line="360" w:lineRule="auto"/>
        <w:jc w:val="left"/>
        <w:rPr>
          <w:rFonts w:ascii="宋体" w:hAnsi="宋体"/>
          <w:color w:val="auto"/>
          <w:sz w:val="24"/>
          <w:szCs w:val="24"/>
          <w:highlight w:val="none"/>
        </w:rPr>
      </w:pPr>
      <w:bookmarkStart w:id="348" w:name="_Toc7810"/>
      <w:r>
        <w:rPr>
          <w:rFonts w:hint="eastAsia" w:ascii="宋体" w:hAnsi="宋体"/>
          <w:color w:val="auto"/>
          <w:sz w:val="24"/>
          <w:szCs w:val="24"/>
          <w:highlight w:val="none"/>
        </w:rPr>
        <w:t>8.3 质量保证金</w:t>
      </w:r>
      <w:bookmarkEnd w:id="343"/>
      <w:bookmarkEnd w:id="344"/>
      <w:bookmarkEnd w:id="345"/>
      <w:bookmarkEnd w:id="346"/>
      <w:bookmarkEnd w:id="347"/>
      <w:bookmarkEnd w:id="34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分布式光伏系统质量保证责任为2年，自实际竣工日期起计算质量保证金按以下方式返还：</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质保期满后，采购人应在14日内会同承包商按照合同约定的内容核实承包商是否完成质量保证责任，并将无异议的剩余质量保证金返还承包商。</w:t>
      </w:r>
    </w:p>
    <w:p>
      <w:pPr>
        <w:pStyle w:val="5"/>
        <w:spacing w:before="120" w:after="120" w:line="360" w:lineRule="auto"/>
        <w:jc w:val="left"/>
        <w:rPr>
          <w:rFonts w:ascii="宋体" w:hAnsi="宋体"/>
          <w:color w:val="auto"/>
          <w:sz w:val="24"/>
          <w:szCs w:val="24"/>
          <w:highlight w:val="none"/>
        </w:rPr>
      </w:pPr>
      <w:bookmarkStart w:id="349" w:name="_Toc1864"/>
      <w:bookmarkStart w:id="350" w:name="_Toc246996309"/>
      <w:bookmarkStart w:id="351" w:name="_Toc246997052"/>
      <w:bookmarkStart w:id="352" w:name="_Toc419015730"/>
      <w:bookmarkStart w:id="353" w:name="_Toc296602554"/>
      <w:bookmarkStart w:id="354" w:name="_Toc247085824"/>
      <w:r>
        <w:rPr>
          <w:rFonts w:hint="eastAsia" w:ascii="宋体" w:hAnsi="宋体"/>
          <w:color w:val="auto"/>
          <w:sz w:val="24"/>
          <w:szCs w:val="24"/>
          <w:highlight w:val="none"/>
        </w:rPr>
        <w:t>8.4竣工结算</w:t>
      </w:r>
      <w:bookmarkEnd w:id="349"/>
      <w:bookmarkEnd w:id="350"/>
      <w:bookmarkEnd w:id="351"/>
      <w:bookmarkEnd w:id="352"/>
      <w:bookmarkEnd w:id="353"/>
      <w:bookmarkEnd w:id="35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8.4.1本次采购是</w:t>
      </w:r>
      <w:r>
        <w:rPr>
          <w:rFonts w:hint="eastAsia" w:ascii="宋体" w:hAnsi="宋体"/>
          <w:color w:val="auto"/>
          <w:szCs w:val="24"/>
          <w:highlight w:val="none"/>
          <w:lang w:eastAsia="zh-CN"/>
        </w:rPr>
        <w:t>固定单价</w:t>
      </w:r>
      <w:r>
        <w:rPr>
          <w:rFonts w:hint="eastAsia" w:ascii="宋体" w:hAnsi="宋体"/>
          <w:color w:val="auto"/>
          <w:szCs w:val="24"/>
          <w:highlight w:val="none"/>
        </w:rPr>
        <w:t>采购，竣工结算价格不因物价波动和法律变化而调整。</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8.4.2</w:t>
      </w:r>
      <w:r>
        <w:rPr>
          <w:rFonts w:ascii="宋体" w:hAnsi="宋体"/>
          <w:color w:val="auto"/>
          <w:szCs w:val="24"/>
          <w:highlight w:val="none"/>
        </w:rPr>
        <w:t>工程</w:t>
      </w:r>
      <w:r>
        <w:rPr>
          <w:rFonts w:hint="eastAsia" w:ascii="宋体" w:hAnsi="宋体"/>
          <w:color w:val="auto"/>
          <w:szCs w:val="24"/>
          <w:highlight w:val="none"/>
        </w:rPr>
        <w:t>竣工验收</w:t>
      </w:r>
      <w:r>
        <w:rPr>
          <w:rFonts w:ascii="宋体" w:hAnsi="宋体"/>
          <w:color w:val="auto"/>
          <w:szCs w:val="24"/>
          <w:highlight w:val="none"/>
        </w:rPr>
        <w:t>后，承包商应</w:t>
      </w:r>
      <w:r>
        <w:rPr>
          <w:rFonts w:hint="eastAsia" w:ascii="宋体" w:hAnsi="宋体"/>
          <w:color w:val="auto"/>
          <w:szCs w:val="24"/>
          <w:highlight w:val="none"/>
        </w:rPr>
        <w:t>在7日内</w:t>
      </w:r>
      <w:r>
        <w:rPr>
          <w:rFonts w:ascii="宋体" w:hAnsi="宋体"/>
          <w:color w:val="auto"/>
          <w:szCs w:val="24"/>
          <w:highlight w:val="none"/>
        </w:rPr>
        <w:t>向</w:t>
      </w:r>
      <w:r>
        <w:rPr>
          <w:rFonts w:hint="eastAsia" w:ascii="宋体" w:hAnsi="宋体"/>
          <w:color w:val="auto"/>
          <w:szCs w:val="24"/>
          <w:highlight w:val="none"/>
        </w:rPr>
        <w:t>采购人</w:t>
      </w:r>
      <w:r>
        <w:rPr>
          <w:rFonts w:ascii="宋体" w:hAnsi="宋体"/>
          <w:color w:val="auto"/>
          <w:szCs w:val="24"/>
          <w:highlight w:val="none"/>
        </w:rPr>
        <w:t>提交竣工付款申请单</w:t>
      </w:r>
      <w:r>
        <w:rPr>
          <w:rFonts w:hint="eastAsia" w:ascii="宋体" w:hAnsi="宋体"/>
          <w:color w:val="auto"/>
          <w:szCs w:val="24"/>
          <w:highlight w:val="none"/>
        </w:rPr>
        <w:t>3份</w:t>
      </w:r>
      <w:r>
        <w:rPr>
          <w:rFonts w:ascii="宋体" w:hAnsi="宋体"/>
          <w:color w:val="auto"/>
          <w:szCs w:val="24"/>
          <w:highlight w:val="none"/>
        </w:rPr>
        <w:t>，并提供相关证明材料。</w:t>
      </w:r>
      <w:r>
        <w:rPr>
          <w:rFonts w:hint="eastAsia" w:ascii="宋体" w:hAnsi="宋体"/>
          <w:color w:val="auto"/>
          <w:szCs w:val="24"/>
          <w:highlight w:val="none"/>
        </w:rPr>
        <w:t>采购人应当在</w:t>
      </w:r>
      <w:r>
        <w:rPr>
          <w:rFonts w:ascii="宋体" w:hAnsi="宋体"/>
          <w:color w:val="auto"/>
          <w:szCs w:val="24"/>
          <w:highlight w:val="none"/>
        </w:rPr>
        <w:t>收到竣工结算申请单的</w:t>
      </w:r>
      <w:r>
        <w:rPr>
          <w:rFonts w:hint="eastAsia" w:ascii="宋体" w:hAnsi="宋体"/>
          <w:color w:val="auto"/>
          <w:szCs w:val="24"/>
          <w:highlight w:val="none"/>
        </w:rPr>
        <w:t>7日内完成</w:t>
      </w:r>
      <w:r>
        <w:rPr>
          <w:rFonts w:ascii="宋体" w:hAnsi="宋体"/>
          <w:color w:val="auto"/>
          <w:szCs w:val="24"/>
          <w:highlight w:val="none"/>
        </w:rPr>
        <w:t>核查</w:t>
      </w:r>
      <w:r>
        <w:rPr>
          <w:rFonts w:hint="eastAsia" w:ascii="宋体" w:hAnsi="宋体"/>
          <w:color w:val="auto"/>
          <w:szCs w:val="24"/>
          <w:highlight w:val="none"/>
        </w:rPr>
        <w:t>。采购人核查完成后，承包商准备竣工付款证书并送采购人审核</w:t>
      </w:r>
      <w:r>
        <w:rPr>
          <w:rFonts w:ascii="宋体" w:hAnsi="宋体"/>
          <w:color w:val="auto"/>
          <w:szCs w:val="24"/>
          <w:highlight w:val="none"/>
        </w:rPr>
        <w:t>，采购人应在</w:t>
      </w:r>
      <w:r>
        <w:rPr>
          <w:rFonts w:hint="eastAsia" w:ascii="宋体" w:hAnsi="宋体"/>
          <w:color w:val="auto"/>
          <w:szCs w:val="24"/>
          <w:highlight w:val="none"/>
        </w:rPr>
        <w:t>收到后14日</w:t>
      </w:r>
      <w:r>
        <w:rPr>
          <w:rFonts w:ascii="宋体" w:hAnsi="宋体"/>
          <w:color w:val="auto"/>
          <w:szCs w:val="24"/>
          <w:highlight w:val="none"/>
        </w:rPr>
        <w:t>内</w:t>
      </w:r>
      <w:r>
        <w:rPr>
          <w:rFonts w:hint="eastAsia" w:ascii="宋体" w:hAnsi="宋体"/>
          <w:color w:val="auto"/>
          <w:szCs w:val="24"/>
          <w:highlight w:val="none"/>
        </w:rPr>
        <w:t>提出具体意见或签认竣工付款证书，并在采购人</w:t>
      </w:r>
      <w:r>
        <w:rPr>
          <w:rFonts w:ascii="宋体" w:hAnsi="宋体"/>
          <w:color w:val="auto"/>
          <w:szCs w:val="24"/>
          <w:highlight w:val="none"/>
        </w:rPr>
        <w:t>收到竣工结算申请单的</w:t>
      </w:r>
      <w:r>
        <w:rPr>
          <w:rFonts w:hint="eastAsia" w:ascii="宋体" w:hAnsi="宋体"/>
          <w:color w:val="auto"/>
          <w:szCs w:val="24"/>
          <w:highlight w:val="none"/>
        </w:rPr>
        <w:t>28日</w:t>
      </w:r>
      <w:r>
        <w:rPr>
          <w:rFonts w:ascii="宋体" w:hAnsi="宋体"/>
          <w:color w:val="auto"/>
          <w:szCs w:val="24"/>
          <w:highlight w:val="none"/>
        </w:rPr>
        <w:t>内将应付款支付给承包商。</w:t>
      </w:r>
    </w:p>
    <w:p>
      <w:pPr>
        <w:pStyle w:val="4"/>
        <w:spacing w:before="240" w:after="120" w:line="360" w:lineRule="auto"/>
        <w:jc w:val="both"/>
        <w:rPr>
          <w:rFonts w:ascii="宋体" w:hAnsi="宋体"/>
          <w:b w:val="0"/>
          <w:color w:val="auto"/>
          <w:sz w:val="28"/>
          <w:szCs w:val="28"/>
          <w:highlight w:val="none"/>
        </w:rPr>
      </w:pPr>
      <w:bookmarkStart w:id="355" w:name="_Toc184635115"/>
      <w:bookmarkStart w:id="356" w:name="_Toc419015732"/>
      <w:bookmarkStart w:id="357" w:name="_Toc246996311"/>
      <w:bookmarkStart w:id="358" w:name="_Toc246997054"/>
      <w:bookmarkStart w:id="359" w:name="_Toc14947"/>
      <w:bookmarkStart w:id="360" w:name="_Toc247085826"/>
      <w:bookmarkStart w:id="361" w:name="_Toc296602556"/>
      <w:r>
        <w:rPr>
          <w:rFonts w:hint="eastAsia" w:ascii="宋体" w:hAnsi="宋体"/>
          <w:b w:val="0"/>
          <w:color w:val="auto"/>
          <w:sz w:val="28"/>
          <w:szCs w:val="28"/>
          <w:highlight w:val="none"/>
        </w:rPr>
        <w:t>9. 竣工验收</w:t>
      </w:r>
      <w:bookmarkEnd w:id="355"/>
      <w:bookmarkEnd w:id="356"/>
      <w:bookmarkEnd w:id="357"/>
      <w:bookmarkEnd w:id="358"/>
      <w:bookmarkEnd w:id="359"/>
      <w:bookmarkEnd w:id="360"/>
      <w:bookmarkEnd w:id="361"/>
    </w:p>
    <w:p>
      <w:pPr>
        <w:pStyle w:val="5"/>
        <w:spacing w:before="120" w:after="120" w:line="360" w:lineRule="auto"/>
        <w:jc w:val="left"/>
        <w:rPr>
          <w:rFonts w:ascii="宋体" w:hAnsi="宋体"/>
          <w:color w:val="auto"/>
          <w:sz w:val="24"/>
          <w:szCs w:val="24"/>
          <w:highlight w:val="none"/>
        </w:rPr>
      </w:pPr>
      <w:bookmarkStart w:id="362" w:name="_Toc296602557"/>
      <w:bookmarkStart w:id="363" w:name="_Toc419015733"/>
      <w:bookmarkStart w:id="364" w:name="_Toc23676"/>
      <w:bookmarkStart w:id="365" w:name="_Toc246997055"/>
      <w:bookmarkStart w:id="366" w:name="_Toc246996312"/>
      <w:bookmarkStart w:id="367" w:name="_Toc247085827"/>
      <w:r>
        <w:rPr>
          <w:rFonts w:hint="eastAsia" w:ascii="宋体" w:hAnsi="宋体"/>
          <w:color w:val="auto"/>
          <w:sz w:val="24"/>
          <w:szCs w:val="24"/>
          <w:highlight w:val="none"/>
        </w:rPr>
        <w:t>9.1 竣工验收的含义</w:t>
      </w:r>
      <w:bookmarkEnd w:id="362"/>
      <w:bookmarkEnd w:id="363"/>
      <w:bookmarkEnd w:id="36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9.1.1 竣工验收是指承包商完成了全部合同工作后，采购人按合同要求进行的验收。</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9.1.2 需要进行国家验收的，竣工验收是国家验收的一部分。竣工验收所采用的各项验收和评定标准应符合国家验收标准。采购人和承包商为竣工验收提供的各项竣工验收资料应符合国家验收的要求。</w:t>
      </w:r>
    </w:p>
    <w:p>
      <w:pPr>
        <w:pStyle w:val="5"/>
        <w:spacing w:before="120" w:after="120" w:line="360" w:lineRule="auto"/>
        <w:jc w:val="left"/>
        <w:rPr>
          <w:rFonts w:ascii="宋体" w:hAnsi="宋体"/>
          <w:color w:val="auto"/>
          <w:sz w:val="24"/>
          <w:szCs w:val="24"/>
          <w:highlight w:val="none"/>
        </w:rPr>
      </w:pPr>
      <w:bookmarkStart w:id="368" w:name="_Toc419015734"/>
      <w:bookmarkStart w:id="369" w:name="_Toc296602558"/>
      <w:bookmarkStart w:id="370" w:name="_Toc30951"/>
      <w:r>
        <w:rPr>
          <w:rFonts w:hint="eastAsia" w:ascii="宋体" w:hAnsi="宋体"/>
          <w:color w:val="auto"/>
          <w:sz w:val="24"/>
          <w:szCs w:val="24"/>
          <w:highlight w:val="none"/>
        </w:rPr>
        <w:t>9.2 竣工验收申请报告</w:t>
      </w:r>
      <w:bookmarkEnd w:id="365"/>
      <w:bookmarkEnd w:id="366"/>
      <w:bookmarkEnd w:id="367"/>
      <w:bookmarkEnd w:id="368"/>
      <w:bookmarkEnd w:id="369"/>
      <w:bookmarkEnd w:id="370"/>
    </w:p>
    <w:p>
      <w:pPr>
        <w:spacing w:line="360" w:lineRule="auto"/>
        <w:ind w:firstLine="480" w:firstLineChars="200"/>
        <w:rPr>
          <w:rFonts w:ascii="宋体" w:hAnsi="宋体"/>
          <w:color w:val="auto"/>
          <w:szCs w:val="24"/>
          <w:highlight w:val="none"/>
        </w:rPr>
      </w:pPr>
      <w:r>
        <w:rPr>
          <w:rFonts w:ascii="宋体" w:hAnsi="宋体"/>
          <w:color w:val="auto"/>
          <w:szCs w:val="24"/>
          <w:highlight w:val="none"/>
        </w:rPr>
        <w:t>当工程具备竣工条件时，</w:t>
      </w:r>
      <w:r>
        <w:rPr>
          <w:rFonts w:hint="eastAsia" w:ascii="宋体" w:hAnsi="宋体"/>
          <w:color w:val="auto"/>
          <w:szCs w:val="24"/>
          <w:highlight w:val="none"/>
        </w:rPr>
        <w:t>承包商</w:t>
      </w:r>
      <w:r>
        <w:rPr>
          <w:rFonts w:ascii="宋体" w:hAnsi="宋体"/>
          <w:color w:val="auto"/>
          <w:szCs w:val="24"/>
          <w:highlight w:val="none"/>
        </w:rPr>
        <w:t>即可向</w:t>
      </w:r>
      <w:r>
        <w:rPr>
          <w:rFonts w:hint="eastAsia" w:ascii="宋体" w:hAnsi="宋体"/>
          <w:color w:val="auto"/>
          <w:szCs w:val="24"/>
          <w:highlight w:val="none"/>
        </w:rPr>
        <w:t>采购人</w:t>
      </w:r>
      <w:r>
        <w:rPr>
          <w:rFonts w:ascii="宋体" w:hAnsi="宋体"/>
          <w:color w:val="auto"/>
          <w:szCs w:val="24"/>
          <w:highlight w:val="none"/>
        </w:rPr>
        <w:t>报送竣工验收申请报告</w:t>
      </w:r>
      <w:r>
        <w:rPr>
          <w:rFonts w:hint="eastAsia" w:ascii="宋体" w:hAnsi="宋体"/>
          <w:color w:val="auto"/>
          <w:szCs w:val="24"/>
          <w:highlight w:val="none"/>
        </w:rPr>
        <w:t>。</w:t>
      </w:r>
    </w:p>
    <w:p>
      <w:pPr>
        <w:pStyle w:val="5"/>
        <w:spacing w:before="120" w:after="120" w:line="360" w:lineRule="auto"/>
        <w:jc w:val="left"/>
        <w:rPr>
          <w:rFonts w:ascii="宋体" w:hAnsi="宋体"/>
          <w:color w:val="auto"/>
          <w:sz w:val="24"/>
          <w:szCs w:val="24"/>
          <w:highlight w:val="none"/>
        </w:rPr>
      </w:pPr>
      <w:bookmarkStart w:id="371" w:name="_Toc246996313"/>
      <w:bookmarkStart w:id="372" w:name="_Toc296602559"/>
      <w:bookmarkStart w:id="373" w:name="_Toc247085828"/>
      <w:bookmarkStart w:id="374" w:name="_Toc246997056"/>
      <w:bookmarkStart w:id="375" w:name="_Toc419015735"/>
      <w:bookmarkStart w:id="376" w:name="_Toc15539"/>
      <w:r>
        <w:rPr>
          <w:rFonts w:hint="eastAsia" w:ascii="宋体" w:hAnsi="宋体"/>
          <w:color w:val="auto"/>
          <w:sz w:val="24"/>
          <w:szCs w:val="24"/>
          <w:highlight w:val="none"/>
        </w:rPr>
        <w:t>9.3 竣工和验收</w:t>
      </w:r>
      <w:bookmarkEnd w:id="371"/>
      <w:bookmarkEnd w:id="372"/>
      <w:bookmarkEnd w:id="373"/>
      <w:bookmarkEnd w:id="374"/>
      <w:bookmarkEnd w:id="375"/>
      <w:bookmarkEnd w:id="376"/>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w:t>
      </w:r>
      <w:r>
        <w:rPr>
          <w:rFonts w:ascii="宋体" w:hAnsi="宋体"/>
          <w:color w:val="auto"/>
          <w:szCs w:val="24"/>
          <w:highlight w:val="none"/>
        </w:rPr>
        <w:t>审查后认为具备竣工验收条件的，进行工程验收。采购人经过验收后同意接收工程的，向</w:t>
      </w:r>
      <w:r>
        <w:rPr>
          <w:rFonts w:hint="eastAsia" w:ascii="宋体" w:hAnsi="宋体"/>
          <w:color w:val="auto"/>
          <w:szCs w:val="24"/>
          <w:highlight w:val="none"/>
        </w:rPr>
        <w:t>承包商</w:t>
      </w:r>
      <w:r>
        <w:rPr>
          <w:rFonts w:ascii="宋体" w:hAnsi="宋体"/>
          <w:color w:val="auto"/>
          <w:szCs w:val="24"/>
          <w:highlight w:val="none"/>
        </w:rPr>
        <w:t>出具经采购人签认的</w:t>
      </w:r>
      <w:r>
        <w:rPr>
          <w:rFonts w:hint="eastAsia" w:ascii="宋体" w:hAnsi="宋体"/>
          <w:color w:val="auto"/>
          <w:szCs w:val="24"/>
          <w:highlight w:val="none"/>
        </w:rPr>
        <w:t>竣工验收单。</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经验收合格工程的实际竣工日期，以提交竣工验收申请报告的日期为准，并在工程</w:t>
      </w:r>
      <w:r>
        <w:rPr>
          <w:rFonts w:hint="eastAsia" w:ascii="宋体" w:hAnsi="宋体"/>
          <w:color w:val="auto"/>
          <w:szCs w:val="24"/>
          <w:highlight w:val="none"/>
        </w:rPr>
        <w:t>竣工验收单</w:t>
      </w:r>
      <w:r>
        <w:rPr>
          <w:rFonts w:ascii="宋体" w:hAnsi="宋体"/>
          <w:color w:val="auto"/>
          <w:szCs w:val="24"/>
          <w:highlight w:val="none"/>
        </w:rPr>
        <w:t>中写明</w:t>
      </w:r>
      <w:r>
        <w:rPr>
          <w:rFonts w:hint="eastAsia" w:ascii="宋体" w:hAnsi="宋体"/>
          <w:color w:val="auto"/>
          <w:szCs w:val="24"/>
          <w:highlight w:val="none"/>
        </w:rPr>
        <w:t>。</w:t>
      </w:r>
    </w:p>
    <w:p>
      <w:pPr>
        <w:pStyle w:val="5"/>
        <w:spacing w:before="120" w:after="120" w:line="360" w:lineRule="auto"/>
        <w:jc w:val="left"/>
        <w:rPr>
          <w:rFonts w:ascii="宋体" w:hAnsi="宋体"/>
          <w:color w:val="auto"/>
          <w:sz w:val="24"/>
          <w:szCs w:val="24"/>
          <w:highlight w:val="none"/>
        </w:rPr>
      </w:pPr>
      <w:bookmarkStart w:id="377" w:name="_Toc246996314"/>
      <w:bookmarkStart w:id="378" w:name="_Toc247085829"/>
      <w:bookmarkStart w:id="379" w:name="_Toc419015736"/>
      <w:bookmarkStart w:id="380" w:name="_Toc665"/>
      <w:bookmarkStart w:id="381" w:name="_Toc296602560"/>
      <w:bookmarkStart w:id="382" w:name="_Toc246997057"/>
      <w:r>
        <w:rPr>
          <w:rFonts w:hint="eastAsia" w:ascii="宋体" w:hAnsi="宋体"/>
          <w:color w:val="auto"/>
          <w:sz w:val="24"/>
          <w:szCs w:val="24"/>
          <w:highlight w:val="none"/>
        </w:rPr>
        <w:t>9.4 试运行</w:t>
      </w:r>
      <w:bookmarkEnd w:id="377"/>
      <w:bookmarkEnd w:id="378"/>
      <w:bookmarkEnd w:id="379"/>
      <w:bookmarkEnd w:id="380"/>
      <w:bookmarkEnd w:id="381"/>
      <w:bookmarkEnd w:id="38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本项目不进行试运行。</w:t>
      </w:r>
    </w:p>
    <w:p>
      <w:pPr>
        <w:pStyle w:val="5"/>
        <w:spacing w:before="120" w:after="120" w:line="360" w:lineRule="auto"/>
        <w:jc w:val="left"/>
        <w:rPr>
          <w:rFonts w:ascii="宋体" w:hAnsi="宋体"/>
          <w:color w:val="auto"/>
          <w:sz w:val="24"/>
          <w:szCs w:val="24"/>
          <w:highlight w:val="none"/>
        </w:rPr>
      </w:pPr>
      <w:bookmarkStart w:id="383" w:name="_Toc247085830"/>
      <w:bookmarkStart w:id="384" w:name="_Toc10165"/>
      <w:bookmarkStart w:id="385" w:name="_Toc246997058"/>
      <w:bookmarkStart w:id="386" w:name="_Toc296602561"/>
      <w:bookmarkStart w:id="387" w:name="_Toc246996315"/>
      <w:bookmarkStart w:id="388" w:name="_Toc419015737"/>
      <w:r>
        <w:rPr>
          <w:rFonts w:hint="eastAsia" w:ascii="宋体" w:hAnsi="宋体"/>
          <w:color w:val="auto"/>
          <w:sz w:val="24"/>
          <w:szCs w:val="24"/>
          <w:highlight w:val="none"/>
        </w:rPr>
        <w:t>9.5 竣工清场</w:t>
      </w:r>
      <w:bookmarkEnd w:id="383"/>
      <w:bookmarkEnd w:id="384"/>
      <w:bookmarkEnd w:id="385"/>
      <w:bookmarkEnd w:id="386"/>
      <w:bookmarkEnd w:id="387"/>
      <w:bookmarkEnd w:id="38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工程竣工验收单颁发后，承包商应对施工场地进行清理，直至采购人检验合格为止。竣工清场费用由承包商承担。</w:t>
      </w:r>
    </w:p>
    <w:p>
      <w:pPr>
        <w:pStyle w:val="4"/>
        <w:spacing w:before="240" w:after="120" w:line="360" w:lineRule="auto"/>
        <w:jc w:val="both"/>
        <w:rPr>
          <w:rFonts w:ascii="宋体" w:hAnsi="宋体"/>
          <w:b w:val="0"/>
          <w:color w:val="auto"/>
          <w:sz w:val="28"/>
          <w:szCs w:val="28"/>
          <w:highlight w:val="none"/>
        </w:rPr>
      </w:pPr>
      <w:bookmarkStart w:id="389" w:name="_Toc246997059"/>
      <w:bookmarkStart w:id="390" w:name="_Toc419015738"/>
      <w:bookmarkStart w:id="391" w:name="_Toc184635116"/>
      <w:bookmarkStart w:id="392" w:name="_Toc247085831"/>
      <w:bookmarkStart w:id="393" w:name="_Toc296602562"/>
      <w:bookmarkStart w:id="394" w:name="_Toc5093"/>
      <w:bookmarkStart w:id="395" w:name="_Toc246996316"/>
      <w:r>
        <w:rPr>
          <w:rFonts w:hint="eastAsia" w:ascii="宋体" w:hAnsi="宋体"/>
          <w:b w:val="0"/>
          <w:color w:val="auto"/>
          <w:sz w:val="28"/>
          <w:szCs w:val="28"/>
          <w:highlight w:val="none"/>
        </w:rPr>
        <w:t>10. 质量保证责任与保修责任</w:t>
      </w:r>
      <w:bookmarkEnd w:id="389"/>
      <w:bookmarkEnd w:id="390"/>
      <w:bookmarkEnd w:id="391"/>
      <w:bookmarkEnd w:id="392"/>
      <w:bookmarkEnd w:id="393"/>
      <w:bookmarkEnd w:id="394"/>
      <w:bookmarkEnd w:id="395"/>
    </w:p>
    <w:p>
      <w:pPr>
        <w:pStyle w:val="5"/>
        <w:spacing w:before="120" w:after="120" w:line="360" w:lineRule="auto"/>
        <w:jc w:val="left"/>
        <w:rPr>
          <w:rFonts w:ascii="宋体" w:hAnsi="宋体"/>
          <w:color w:val="auto"/>
          <w:sz w:val="24"/>
          <w:szCs w:val="24"/>
          <w:highlight w:val="none"/>
        </w:rPr>
      </w:pPr>
      <w:bookmarkStart w:id="396" w:name="_Toc419015739"/>
      <w:bookmarkStart w:id="397" w:name="_Toc296602563"/>
      <w:bookmarkStart w:id="398" w:name="_Toc247085832"/>
      <w:bookmarkStart w:id="399" w:name="_Toc246997060"/>
      <w:bookmarkStart w:id="400" w:name="_Toc246996317"/>
      <w:bookmarkStart w:id="401" w:name="_Toc15615"/>
      <w:r>
        <w:rPr>
          <w:rFonts w:hint="eastAsia" w:ascii="宋体" w:hAnsi="宋体"/>
          <w:color w:val="auto"/>
          <w:sz w:val="24"/>
          <w:szCs w:val="24"/>
          <w:highlight w:val="none"/>
        </w:rPr>
        <w:t>10.1 质量保证责任</w:t>
      </w:r>
      <w:bookmarkEnd w:id="396"/>
      <w:bookmarkEnd w:id="397"/>
      <w:bookmarkEnd w:id="398"/>
      <w:bookmarkEnd w:id="399"/>
      <w:bookmarkEnd w:id="400"/>
      <w:bookmarkEnd w:id="401"/>
    </w:p>
    <w:p>
      <w:pPr>
        <w:spacing w:line="360" w:lineRule="auto"/>
        <w:ind w:firstLine="480" w:firstLineChars="200"/>
        <w:rPr>
          <w:rFonts w:ascii="宋体" w:hAnsi="宋体"/>
          <w:color w:val="auto"/>
          <w:szCs w:val="24"/>
          <w:highlight w:val="none"/>
        </w:rPr>
      </w:pPr>
      <w:bookmarkStart w:id="402" w:name="_Toc296602564"/>
      <w:bookmarkStart w:id="403" w:name="_Toc246996318"/>
      <w:bookmarkStart w:id="404" w:name="_Toc246997061"/>
      <w:bookmarkStart w:id="405" w:name="_Toc419015740"/>
      <w:bookmarkStart w:id="406" w:name="_Toc247085833"/>
      <w:r>
        <w:rPr>
          <w:rFonts w:hint="eastAsia" w:ascii="宋体" w:hAnsi="宋体"/>
          <w:color w:val="auto"/>
          <w:szCs w:val="24"/>
          <w:highlight w:val="none"/>
        </w:rPr>
        <w:t>分布式光伏系统质量保证责任自实际竣工日期起计算。在质量保证责任期内，已交付的工程</w:t>
      </w:r>
      <w:r>
        <w:rPr>
          <w:rFonts w:ascii="宋体" w:hAnsi="宋体"/>
          <w:color w:val="auto"/>
          <w:szCs w:val="24"/>
          <w:highlight w:val="none"/>
        </w:rPr>
        <w:t>由于</w:t>
      </w:r>
      <w:r>
        <w:rPr>
          <w:rFonts w:hint="eastAsia" w:ascii="宋体" w:hAnsi="宋体"/>
          <w:color w:val="auto"/>
          <w:szCs w:val="24"/>
          <w:highlight w:val="none"/>
        </w:rPr>
        <w:t>承包商</w:t>
      </w:r>
      <w:r>
        <w:rPr>
          <w:rFonts w:ascii="宋体" w:hAnsi="宋体"/>
          <w:color w:val="auto"/>
          <w:szCs w:val="24"/>
          <w:highlight w:val="none"/>
        </w:rPr>
        <w:t>的材料、设备或工艺不符合合同要求所产生的缺陷，修补费用由</w:t>
      </w:r>
      <w:r>
        <w:rPr>
          <w:rFonts w:hint="eastAsia" w:ascii="宋体" w:hAnsi="宋体"/>
          <w:color w:val="auto"/>
          <w:szCs w:val="24"/>
          <w:highlight w:val="none"/>
        </w:rPr>
        <w:t>承包商</w:t>
      </w:r>
      <w:r>
        <w:rPr>
          <w:rFonts w:ascii="宋体" w:hAnsi="宋体"/>
          <w:color w:val="auto"/>
          <w:szCs w:val="24"/>
          <w:highlight w:val="none"/>
        </w:rPr>
        <w:t>承担</w:t>
      </w:r>
      <w:r>
        <w:rPr>
          <w:rFonts w:hint="eastAsia" w:ascii="宋体" w:hAnsi="宋体"/>
          <w:color w:val="auto"/>
          <w:szCs w:val="24"/>
          <w:highlight w:val="none"/>
        </w:rPr>
        <w:t>。由于承包商原因造成某项缺陷或损坏使某项工程或工程设备不能按原定目标使用而需要再次检查、检验和修复的，采购人有权要求承包商相应延长质量保证责任期。</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分布式光伏系统质量保证的响应期：承包商对采购人在系统运行中出现的任何问题，应迅速给予响应，并根据问题的类别委派工程师在规定的时间内赶到现场：</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（1）一般情况下，承包商应2小时内予以回应、12小时内抵达现场并在24小时内解决问题；</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（2）如遇特大事故，承包商在经由采购人确认并认可后，解决时间超出72小时可不赔偿，否则需由承包商赔偿采购人相应电费损失，电费损失按天进行补偿，取前五日发电量平均值作为基准电量。</w:t>
      </w:r>
    </w:p>
    <w:p>
      <w:pPr>
        <w:pStyle w:val="2"/>
        <w:rPr>
          <w:color w:val="auto"/>
          <w:highlight w:val="none"/>
        </w:rPr>
      </w:pPr>
      <w:r>
        <w:rPr>
          <w:rFonts w:hint="eastAsia"/>
          <w:color w:val="auto"/>
          <w:highlight w:val="none"/>
        </w:rPr>
        <w:t>（3）地面硬化在质保期内不得开裂；光伏车棚主体材料及螺栓在质保期内不得生锈。</w:t>
      </w:r>
    </w:p>
    <w:bookmarkEnd w:id="402"/>
    <w:bookmarkEnd w:id="403"/>
    <w:bookmarkEnd w:id="404"/>
    <w:bookmarkEnd w:id="405"/>
    <w:bookmarkEnd w:id="406"/>
    <w:p>
      <w:pPr>
        <w:pStyle w:val="4"/>
        <w:spacing w:before="240" w:after="120" w:line="360" w:lineRule="auto"/>
        <w:jc w:val="both"/>
        <w:rPr>
          <w:rFonts w:ascii="宋体" w:hAnsi="宋体"/>
          <w:b w:val="0"/>
          <w:color w:val="auto"/>
          <w:sz w:val="28"/>
          <w:szCs w:val="28"/>
          <w:highlight w:val="none"/>
        </w:rPr>
      </w:pPr>
      <w:bookmarkStart w:id="407" w:name="_Toc14374"/>
      <w:bookmarkStart w:id="408" w:name="_Toc419015741"/>
      <w:bookmarkStart w:id="409" w:name="_Toc246996319"/>
      <w:bookmarkStart w:id="410" w:name="_Toc296602565"/>
      <w:bookmarkStart w:id="411" w:name="_Toc247085834"/>
      <w:bookmarkStart w:id="412" w:name="_Toc246997062"/>
      <w:bookmarkStart w:id="413" w:name="_Toc184635117"/>
      <w:r>
        <w:rPr>
          <w:rFonts w:hint="eastAsia" w:ascii="宋体" w:hAnsi="宋体"/>
          <w:b w:val="0"/>
          <w:color w:val="auto"/>
          <w:sz w:val="28"/>
          <w:szCs w:val="28"/>
          <w:highlight w:val="none"/>
        </w:rPr>
        <w:t>11. 保险</w:t>
      </w:r>
      <w:bookmarkEnd w:id="407"/>
      <w:bookmarkEnd w:id="408"/>
      <w:bookmarkEnd w:id="409"/>
      <w:bookmarkEnd w:id="410"/>
      <w:bookmarkEnd w:id="411"/>
      <w:bookmarkEnd w:id="412"/>
      <w:bookmarkEnd w:id="413"/>
    </w:p>
    <w:p>
      <w:pPr>
        <w:pStyle w:val="5"/>
        <w:spacing w:before="120" w:after="120" w:line="360" w:lineRule="auto"/>
        <w:jc w:val="left"/>
        <w:rPr>
          <w:rFonts w:ascii="宋体" w:hAnsi="宋体"/>
          <w:color w:val="auto"/>
          <w:sz w:val="24"/>
          <w:szCs w:val="24"/>
          <w:highlight w:val="none"/>
        </w:rPr>
      </w:pPr>
      <w:bookmarkStart w:id="414" w:name="_Toc246997063"/>
      <w:bookmarkStart w:id="415" w:name="_Toc296602566"/>
      <w:bookmarkStart w:id="416" w:name="_Toc419015742"/>
      <w:bookmarkStart w:id="417" w:name="_Toc247085835"/>
      <w:bookmarkStart w:id="418" w:name="_Toc25858"/>
      <w:bookmarkStart w:id="419" w:name="_Toc246996320"/>
      <w:r>
        <w:rPr>
          <w:rFonts w:hint="eastAsia" w:ascii="宋体" w:hAnsi="宋体"/>
          <w:color w:val="auto"/>
          <w:sz w:val="24"/>
          <w:szCs w:val="24"/>
          <w:highlight w:val="none"/>
        </w:rPr>
        <w:t>11.1 保险范围</w:t>
      </w:r>
      <w:bookmarkEnd w:id="414"/>
      <w:bookmarkEnd w:id="415"/>
      <w:bookmarkEnd w:id="416"/>
      <w:bookmarkEnd w:id="417"/>
      <w:bookmarkEnd w:id="418"/>
      <w:bookmarkEnd w:id="41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11.1.1承包商</w:t>
      </w:r>
      <w:r>
        <w:rPr>
          <w:rFonts w:ascii="宋体" w:hAnsi="宋体"/>
          <w:color w:val="auto"/>
          <w:szCs w:val="24"/>
          <w:highlight w:val="none"/>
        </w:rPr>
        <w:t>应依照有关法律规定参加工伤保险和人身意外伤害险，为其履行合同所雇佣的全部人员，缴纳工伤保险费和</w:t>
      </w:r>
      <w:r>
        <w:rPr>
          <w:rFonts w:hint="eastAsia" w:ascii="宋体" w:hAnsi="宋体"/>
          <w:color w:val="auto"/>
          <w:szCs w:val="24"/>
          <w:highlight w:val="none"/>
        </w:rPr>
        <w:t>人身</w:t>
      </w:r>
      <w:r>
        <w:rPr>
          <w:rFonts w:ascii="宋体" w:hAnsi="宋体"/>
          <w:color w:val="auto"/>
          <w:szCs w:val="24"/>
          <w:highlight w:val="none"/>
        </w:rPr>
        <w:t>意外伤害险费。</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11.1.2</w:t>
      </w:r>
      <w:r>
        <w:rPr>
          <w:rFonts w:ascii="宋体" w:hAnsi="宋体"/>
          <w:color w:val="auto"/>
          <w:szCs w:val="24"/>
          <w:highlight w:val="none"/>
        </w:rPr>
        <w:t>采购人应依照有关法律规定参加工伤保险和人身意外伤害险，为其现场机构雇佣的全部人员，缴纳工伤保险费和人身意外伤害险费</w:t>
      </w:r>
      <w:r>
        <w:rPr>
          <w:rFonts w:hint="eastAsia" w:ascii="宋体" w:hAnsi="宋体"/>
          <w:color w:val="auto"/>
          <w:szCs w:val="24"/>
          <w:highlight w:val="none"/>
        </w:rPr>
        <w:t>。</w:t>
      </w:r>
    </w:p>
    <w:p>
      <w:pPr>
        <w:pStyle w:val="5"/>
        <w:spacing w:before="120" w:after="120" w:line="360" w:lineRule="auto"/>
        <w:jc w:val="left"/>
        <w:rPr>
          <w:rFonts w:ascii="宋体" w:hAnsi="宋体"/>
          <w:color w:val="auto"/>
          <w:sz w:val="24"/>
          <w:szCs w:val="24"/>
          <w:highlight w:val="none"/>
        </w:rPr>
      </w:pPr>
      <w:bookmarkStart w:id="420" w:name="_Toc246997064"/>
      <w:bookmarkStart w:id="421" w:name="_Toc246996321"/>
      <w:bookmarkStart w:id="422" w:name="_Toc247085836"/>
      <w:r>
        <w:rPr>
          <w:rFonts w:hint="eastAsia" w:ascii="宋体" w:hAnsi="宋体"/>
          <w:color w:val="auto"/>
          <w:sz w:val="24"/>
          <w:szCs w:val="24"/>
          <w:highlight w:val="none"/>
        </w:rPr>
        <w:t xml:space="preserve"> </w:t>
      </w:r>
      <w:bookmarkStart w:id="423" w:name="_Toc15974"/>
      <w:bookmarkStart w:id="424" w:name="_Toc296602567"/>
      <w:bookmarkStart w:id="425" w:name="_Toc419015743"/>
      <w:r>
        <w:rPr>
          <w:rFonts w:hint="eastAsia" w:ascii="宋体" w:hAnsi="宋体"/>
          <w:color w:val="auto"/>
          <w:sz w:val="24"/>
          <w:szCs w:val="24"/>
          <w:highlight w:val="none"/>
        </w:rPr>
        <w:t xml:space="preserve">11.2 </w:t>
      </w:r>
      <w:r>
        <w:rPr>
          <w:rFonts w:ascii="宋体" w:hAnsi="宋体"/>
          <w:color w:val="auto"/>
          <w:sz w:val="24"/>
          <w:szCs w:val="24"/>
          <w:highlight w:val="none"/>
        </w:rPr>
        <w:t>未办理保</w:t>
      </w:r>
      <w:r>
        <w:rPr>
          <w:rFonts w:hint="eastAsia" w:ascii="宋体" w:hAnsi="宋体"/>
          <w:color w:val="auto"/>
          <w:sz w:val="24"/>
          <w:szCs w:val="24"/>
          <w:highlight w:val="none"/>
        </w:rPr>
        <w:t>险</w:t>
      </w:r>
      <w:bookmarkEnd w:id="420"/>
      <w:bookmarkEnd w:id="421"/>
      <w:bookmarkEnd w:id="422"/>
      <w:bookmarkEnd w:id="423"/>
      <w:bookmarkEnd w:id="424"/>
      <w:bookmarkEnd w:id="425"/>
    </w:p>
    <w:p>
      <w:pPr>
        <w:spacing w:line="360" w:lineRule="auto"/>
        <w:ind w:firstLine="480" w:firstLineChars="200"/>
        <w:rPr>
          <w:rFonts w:ascii="宋体" w:hAnsi="宋体"/>
          <w:color w:val="auto"/>
          <w:szCs w:val="24"/>
          <w:highlight w:val="none"/>
        </w:rPr>
      </w:pPr>
      <w:bookmarkStart w:id="426" w:name="_Toc184635118"/>
      <w:r>
        <w:rPr>
          <w:rFonts w:hint="eastAsia" w:ascii="宋体" w:hAnsi="宋体"/>
          <w:color w:val="auto"/>
          <w:szCs w:val="24"/>
          <w:highlight w:val="none"/>
        </w:rPr>
        <w:t>11.2.1</w:t>
      </w:r>
      <w:r>
        <w:rPr>
          <w:rFonts w:ascii="宋体" w:hAnsi="宋体"/>
          <w:color w:val="auto"/>
          <w:szCs w:val="24"/>
          <w:highlight w:val="none"/>
        </w:rPr>
        <w:t>由于负有投保义务的一方当事人未按合同约定办理保险</w:t>
      </w:r>
      <w:r>
        <w:rPr>
          <w:rFonts w:hint="eastAsia" w:ascii="宋体" w:hAnsi="宋体"/>
          <w:color w:val="auto"/>
          <w:szCs w:val="24"/>
          <w:highlight w:val="none"/>
        </w:rPr>
        <w:t>，</w:t>
      </w:r>
      <w:r>
        <w:rPr>
          <w:rFonts w:ascii="宋体" w:hAnsi="宋体"/>
          <w:color w:val="auto"/>
          <w:szCs w:val="24"/>
          <w:highlight w:val="none"/>
        </w:rPr>
        <w:t>或未能使保险持续有效的，另一方当事人可代为办理，所需费用由对方当事人承担。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12.2.2</w:t>
      </w:r>
      <w:r>
        <w:rPr>
          <w:rFonts w:ascii="宋体" w:hAnsi="宋体"/>
          <w:color w:val="auto"/>
          <w:szCs w:val="24"/>
          <w:highlight w:val="none"/>
        </w:rPr>
        <w:t>由于负有投保义务的一方当事人未按合同约定办理某项保险，导致受益人未能得到保险人的赔偿，原应从该项保险得到的保险金应由负有投保义务的一方当事人支付</w:t>
      </w:r>
      <w:r>
        <w:rPr>
          <w:rFonts w:hint="eastAsia" w:ascii="宋体" w:hAnsi="宋体"/>
          <w:color w:val="auto"/>
          <w:szCs w:val="24"/>
          <w:highlight w:val="none"/>
        </w:rPr>
        <w:t>。</w:t>
      </w:r>
    </w:p>
    <w:bookmarkEnd w:id="426"/>
    <w:p>
      <w:pPr>
        <w:pStyle w:val="4"/>
        <w:spacing w:before="240" w:after="120" w:line="360" w:lineRule="auto"/>
        <w:jc w:val="both"/>
        <w:rPr>
          <w:rFonts w:ascii="宋体" w:hAnsi="宋体"/>
          <w:b w:val="0"/>
          <w:color w:val="auto"/>
          <w:sz w:val="28"/>
          <w:szCs w:val="28"/>
          <w:highlight w:val="none"/>
        </w:rPr>
      </w:pPr>
      <w:bookmarkStart w:id="427" w:name="_Toc247514180"/>
      <w:bookmarkStart w:id="428" w:name="_Toc296602568"/>
      <w:bookmarkStart w:id="429" w:name="_Toc271821895"/>
      <w:bookmarkStart w:id="430" w:name="_Toc419015744"/>
      <w:bookmarkStart w:id="431" w:name="_Toc8573"/>
      <w:bookmarkStart w:id="432" w:name="_Toc247527781"/>
      <w:bookmarkStart w:id="433" w:name="_Toc246996322"/>
      <w:bookmarkStart w:id="434" w:name="_Toc184635119"/>
      <w:bookmarkStart w:id="435" w:name="_Toc246997065"/>
      <w:bookmarkStart w:id="436" w:name="_Toc247085837"/>
      <w:r>
        <w:rPr>
          <w:rFonts w:hint="eastAsia" w:ascii="宋体" w:hAnsi="宋体"/>
          <w:b w:val="0"/>
          <w:color w:val="auto"/>
          <w:sz w:val="28"/>
          <w:szCs w:val="28"/>
          <w:highlight w:val="none"/>
        </w:rPr>
        <w:t>12. 不可抗力</w:t>
      </w:r>
      <w:bookmarkEnd w:id="427"/>
      <w:bookmarkEnd w:id="428"/>
      <w:bookmarkEnd w:id="429"/>
      <w:bookmarkEnd w:id="430"/>
      <w:bookmarkEnd w:id="431"/>
      <w:bookmarkEnd w:id="432"/>
    </w:p>
    <w:p>
      <w:pPr>
        <w:pStyle w:val="5"/>
        <w:spacing w:before="120" w:after="120" w:line="360" w:lineRule="auto"/>
        <w:jc w:val="left"/>
        <w:rPr>
          <w:rFonts w:ascii="宋体" w:hAnsi="宋体"/>
          <w:color w:val="auto"/>
          <w:sz w:val="24"/>
          <w:szCs w:val="24"/>
          <w:highlight w:val="none"/>
        </w:rPr>
      </w:pPr>
      <w:bookmarkStart w:id="437" w:name="_Toc15588"/>
      <w:bookmarkStart w:id="438" w:name="_Toc247527782"/>
      <w:bookmarkStart w:id="439" w:name="_Toc419015745"/>
      <w:bookmarkStart w:id="440" w:name="_Toc296602569"/>
      <w:bookmarkStart w:id="441" w:name="_Toc247514181"/>
      <w:bookmarkStart w:id="442" w:name="_Toc271821896"/>
      <w:r>
        <w:rPr>
          <w:rFonts w:hint="eastAsia" w:ascii="宋体" w:hAnsi="宋体"/>
          <w:color w:val="auto"/>
          <w:sz w:val="24"/>
          <w:szCs w:val="24"/>
          <w:highlight w:val="none"/>
        </w:rPr>
        <w:t>12.1 不可抗力的确认</w:t>
      </w:r>
      <w:bookmarkEnd w:id="437"/>
      <w:bookmarkEnd w:id="438"/>
      <w:bookmarkEnd w:id="439"/>
      <w:bookmarkEnd w:id="440"/>
      <w:bookmarkEnd w:id="441"/>
      <w:bookmarkEnd w:id="44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12.1.1 不可抗力是指承包商和采购人在订立合同时不可预见，在履行合同过程中不可避免发生并不能克服的自然灾害和社会性突发事件，如地震、海啸、瘟疫、水灾、骚乱、暴动、战争。</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12.1.2 不可抗力发生后，采购人和承包商应及时认真统计所造成的损失，收集不可抗力造成损失的证据。合同双方对是否属于不可抗力或其损失的意见不一致的，双方协商解决。发生争议时，按第15款的约定执行。</w:t>
      </w:r>
    </w:p>
    <w:p>
      <w:pPr>
        <w:pStyle w:val="5"/>
        <w:spacing w:before="120" w:after="120" w:line="360" w:lineRule="auto"/>
        <w:jc w:val="left"/>
        <w:rPr>
          <w:rFonts w:ascii="宋体" w:hAnsi="宋体"/>
          <w:color w:val="auto"/>
          <w:sz w:val="24"/>
          <w:szCs w:val="24"/>
          <w:highlight w:val="none"/>
        </w:rPr>
      </w:pPr>
      <w:bookmarkStart w:id="443" w:name="_Toc247514182"/>
      <w:bookmarkStart w:id="444" w:name="_Toc247527783"/>
      <w:bookmarkStart w:id="445" w:name="_Toc419015746"/>
      <w:bookmarkStart w:id="446" w:name="_Toc296602570"/>
      <w:bookmarkStart w:id="447" w:name="_Toc271821897"/>
      <w:bookmarkStart w:id="448" w:name="_Toc9567"/>
      <w:r>
        <w:rPr>
          <w:rFonts w:hint="eastAsia" w:ascii="宋体" w:hAnsi="宋体"/>
          <w:color w:val="auto"/>
          <w:sz w:val="24"/>
          <w:szCs w:val="24"/>
          <w:highlight w:val="none"/>
        </w:rPr>
        <w:t>12.2 不可抗力的通知</w:t>
      </w:r>
      <w:bookmarkEnd w:id="443"/>
      <w:bookmarkEnd w:id="444"/>
      <w:bookmarkEnd w:id="445"/>
      <w:bookmarkEnd w:id="446"/>
      <w:bookmarkEnd w:id="447"/>
      <w:bookmarkEnd w:id="44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合同一方当事人遇到不可抗力事件，使其履行合同义务受到阻碍时，应立即通知合同另一方当事人，书面说明不可抗力和受阻碍的详细情况，并提供必要的证明。如不可抗力持续发生，合同一方当事人应及时向合同另一方当事人提交中间报告，说明不可抗力和履行合同受阻的情况，并于不可抗力事件结束后14日内提交最终报告及有关资料。</w:t>
      </w:r>
    </w:p>
    <w:p>
      <w:pPr>
        <w:pStyle w:val="5"/>
        <w:spacing w:before="120" w:after="120" w:line="360" w:lineRule="auto"/>
        <w:jc w:val="left"/>
        <w:rPr>
          <w:rFonts w:ascii="宋体" w:hAnsi="宋体"/>
          <w:color w:val="auto"/>
          <w:sz w:val="24"/>
          <w:szCs w:val="24"/>
          <w:highlight w:val="none"/>
        </w:rPr>
      </w:pPr>
      <w:bookmarkStart w:id="449" w:name="_Toc271821898"/>
      <w:bookmarkStart w:id="450" w:name="_Toc247514183"/>
      <w:bookmarkStart w:id="451" w:name="_Toc419015747"/>
      <w:bookmarkStart w:id="452" w:name="_Toc25035"/>
      <w:bookmarkStart w:id="453" w:name="_Toc247527784"/>
      <w:bookmarkStart w:id="454" w:name="_Toc296602571"/>
      <w:r>
        <w:rPr>
          <w:rFonts w:hint="eastAsia" w:ascii="宋体" w:hAnsi="宋体"/>
          <w:color w:val="auto"/>
          <w:sz w:val="24"/>
          <w:szCs w:val="24"/>
          <w:highlight w:val="none"/>
        </w:rPr>
        <w:t>12.3 不可抗力后果及其处理</w:t>
      </w:r>
      <w:bookmarkEnd w:id="449"/>
      <w:bookmarkEnd w:id="450"/>
      <w:bookmarkEnd w:id="451"/>
      <w:bookmarkEnd w:id="452"/>
      <w:bookmarkEnd w:id="453"/>
      <w:bookmarkEnd w:id="45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不可抗力导致的人员伤亡、财产损失、费用增加和（或）工期延误等后果，由合同双方按以下原则承担：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（1）永久工程，包括已运至施工场地的材料和工程设备的损害，以及因工程损害造成的第三者人员伤亡和财产损失由承包商承担；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（2）承包商设备的损坏由承包商承担；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（3）采购人和承包商各自承担其人员伤亡和其他财产损失及其相关费用；</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（4）承包商的停工损失由承包商承担；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（5）不能按期竣工的，应合理延长工期，承包商不需支付逾期竣工违约金。采购人要求赶工的，承包商应采取赶工措施，赶工费用由采购人承担。</w:t>
      </w:r>
    </w:p>
    <w:p>
      <w:pPr>
        <w:pStyle w:val="4"/>
        <w:spacing w:before="240" w:after="120" w:line="360" w:lineRule="auto"/>
        <w:jc w:val="both"/>
        <w:rPr>
          <w:rFonts w:ascii="宋体" w:hAnsi="宋体"/>
          <w:b w:val="0"/>
          <w:color w:val="auto"/>
          <w:sz w:val="28"/>
          <w:szCs w:val="28"/>
          <w:highlight w:val="none"/>
        </w:rPr>
      </w:pPr>
      <w:bookmarkStart w:id="455" w:name="_Toc6431"/>
      <w:bookmarkStart w:id="456" w:name="_Toc296602572"/>
      <w:bookmarkStart w:id="457" w:name="_Toc419015748"/>
      <w:r>
        <w:rPr>
          <w:rFonts w:hint="eastAsia" w:ascii="宋体" w:hAnsi="宋体"/>
          <w:b w:val="0"/>
          <w:color w:val="auto"/>
          <w:sz w:val="28"/>
          <w:szCs w:val="28"/>
          <w:highlight w:val="none"/>
        </w:rPr>
        <w:t>13. 违约</w:t>
      </w:r>
      <w:bookmarkEnd w:id="433"/>
      <w:bookmarkEnd w:id="434"/>
      <w:bookmarkEnd w:id="435"/>
      <w:bookmarkEnd w:id="436"/>
      <w:bookmarkEnd w:id="455"/>
      <w:bookmarkEnd w:id="456"/>
      <w:bookmarkEnd w:id="457"/>
    </w:p>
    <w:p>
      <w:pPr>
        <w:pStyle w:val="5"/>
        <w:spacing w:before="120" w:after="120" w:line="360" w:lineRule="auto"/>
        <w:jc w:val="left"/>
        <w:rPr>
          <w:rFonts w:ascii="宋体" w:hAnsi="宋体"/>
          <w:color w:val="auto"/>
          <w:sz w:val="24"/>
          <w:szCs w:val="24"/>
          <w:highlight w:val="none"/>
        </w:rPr>
      </w:pPr>
      <w:bookmarkStart w:id="458" w:name="_Toc246996323"/>
      <w:bookmarkStart w:id="459" w:name="_Toc719"/>
      <w:bookmarkStart w:id="460" w:name="_Toc246997066"/>
      <w:bookmarkStart w:id="461" w:name="_Toc419015749"/>
      <w:bookmarkStart w:id="462" w:name="_Toc296602573"/>
      <w:bookmarkStart w:id="463" w:name="_Toc247085838"/>
      <w:r>
        <w:rPr>
          <w:rFonts w:hint="eastAsia" w:ascii="宋体" w:hAnsi="宋体"/>
          <w:color w:val="auto"/>
          <w:sz w:val="24"/>
          <w:szCs w:val="24"/>
          <w:highlight w:val="none"/>
        </w:rPr>
        <w:t>13.1 承包商违约</w:t>
      </w:r>
      <w:bookmarkEnd w:id="458"/>
      <w:bookmarkEnd w:id="459"/>
      <w:bookmarkEnd w:id="460"/>
      <w:bookmarkEnd w:id="461"/>
      <w:bookmarkEnd w:id="462"/>
      <w:bookmarkEnd w:id="46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13.1.1 </w:t>
      </w:r>
      <w:r>
        <w:rPr>
          <w:rFonts w:ascii="宋体" w:hAnsi="宋体"/>
          <w:color w:val="auto"/>
          <w:szCs w:val="24"/>
          <w:highlight w:val="none"/>
        </w:rPr>
        <w:t>如果</w:t>
      </w:r>
      <w:r>
        <w:rPr>
          <w:rFonts w:hint="eastAsia" w:ascii="宋体" w:hAnsi="宋体"/>
          <w:color w:val="auto"/>
          <w:szCs w:val="24"/>
          <w:highlight w:val="none"/>
        </w:rPr>
        <w:t>承包商</w:t>
      </w:r>
      <w:r>
        <w:rPr>
          <w:rFonts w:ascii="宋体" w:hAnsi="宋体"/>
          <w:color w:val="auto"/>
          <w:szCs w:val="24"/>
          <w:highlight w:val="none"/>
        </w:rPr>
        <w:t>拒绝或未能遵守</w:t>
      </w:r>
      <w:r>
        <w:rPr>
          <w:rFonts w:hint="eastAsia" w:ascii="宋体" w:hAnsi="宋体"/>
          <w:color w:val="auto"/>
          <w:szCs w:val="24"/>
          <w:highlight w:val="none"/>
        </w:rPr>
        <w:t>采购人</w:t>
      </w:r>
      <w:r>
        <w:rPr>
          <w:rFonts w:ascii="宋体" w:hAnsi="宋体"/>
          <w:color w:val="auto"/>
          <w:szCs w:val="24"/>
          <w:highlight w:val="none"/>
        </w:rPr>
        <w:t>的指示，或未能按合同进度计划及时完成合同约定的工作，已造成或预期造成工期延误，或违反合同不顾书面警告，</w:t>
      </w:r>
      <w:r>
        <w:rPr>
          <w:rFonts w:hint="eastAsia" w:ascii="宋体" w:hAnsi="宋体"/>
          <w:color w:val="auto"/>
          <w:szCs w:val="24"/>
          <w:highlight w:val="none"/>
        </w:rPr>
        <w:t>采购人</w:t>
      </w:r>
      <w:r>
        <w:rPr>
          <w:rFonts w:ascii="宋体" w:hAnsi="宋体"/>
          <w:color w:val="auto"/>
          <w:szCs w:val="24"/>
          <w:highlight w:val="none"/>
        </w:rPr>
        <w:t>可发出通知</w:t>
      </w:r>
      <w:r>
        <w:rPr>
          <w:rFonts w:hint="eastAsia" w:ascii="宋体" w:hAnsi="宋体"/>
          <w:color w:val="auto"/>
          <w:szCs w:val="24"/>
          <w:highlight w:val="none"/>
        </w:rPr>
        <w:t>，告知</w:t>
      </w:r>
      <w:r>
        <w:rPr>
          <w:rFonts w:ascii="宋体" w:hAnsi="宋体"/>
          <w:color w:val="auto"/>
          <w:szCs w:val="24"/>
          <w:highlight w:val="none"/>
        </w:rPr>
        <w:t>承包商违约</w:t>
      </w:r>
      <w:r>
        <w:rPr>
          <w:rFonts w:hint="eastAsia" w:ascii="宋体" w:hAnsi="宋体"/>
          <w:color w:val="auto"/>
          <w:szCs w:val="24"/>
          <w:highlight w:val="none"/>
        </w:rPr>
        <w:t>。</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13.1.2 </w:t>
      </w:r>
      <w:r>
        <w:rPr>
          <w:rFonts w:ascii="宋体" w:hAnsi="宋体"/>
          <w:color w:val="auto"/>
          <w:szCs w:val="24"/>
          <w:highlight w:val="none"/>
        </w:rPr>
        <w:t>如果</w:t>
      </w:r>
      <w:r>
        <w:rPr>
          <w:rFonts w:hint="eastAsia" w:ascii="宋体" w:hAnsi="宋体"/>
          <w:color w:val="auto"/>
          <w:szCs w:val="24"/>
          <w:highlight w:val="none"/>
        </w:rPr>
        <w:t>承包商</w:t>
      </w:r>
      <w:r>
        <w:rPr>
          <w:rFonts w:ascii="宋体" w:hAnsi="宋体"/>
          <w:color w:val="auto"/>
          <w:szCs w:val="24"/>
          <w:highlight w:val="none"/>
        </w:rPr>
        <w:t>在收到</w:t>
      </w:r>
      <w:r>
        <w:rPr>
          <w:rFonts w:hint="eastAsia" w:ascii="宋体" w:hAnsi="宋体"/>
          <w:color w:val="auto"/>
          <w:szCs w:val="24"/>
          <w:highlight w:val="none"/>
        </w:rPr>
        <w:t>采购人</w:t>
      </w:r>
      <w:r>
        <w:rPr>
          <w:rFonts w:ascii="宋体" w:hAnsi="宋体"/>
          <w:color w:val="auto"/>
          <w:szCs w:val="24"/>
          <w:highlight w:val="none"/>
        </w:rPr>
        <w:t>通知后</w:t>
      </w:r>
      <w:r>
        <w:rPr>
          <w:rFonts w:hint="eastAsia" w:ascii="宋体" w:hAnsi="宋体"/>
          <w:color w:val="auto"/>
          <w:szCs w:val="24"/>
          <w:highlight w:val="none"/>
        </w:rPr>
        <w:t>7日</w:t>
      </w:r>
      <w:r>
        <w:rPr>
          <w:rFonts w:ascii="宋体" w:hAnsi="宋体"/>
          <w:color w:val="auto"/>
          <w:szCs w:val="24"/>
          <w:highlight w:val="none"/>
        </w:rPr>
        <w:t>内，没有采取可行的措施纠正违约，采购人可向</w:t>
      </w:r>
      <w:r>
        <w:rPr>
          <w:rFonts w:hint="eastAsia" w:ascii="宋体" w:hAnsi="宋体"/>
          <w:color w:val="auto"/>
          <w:szCs w:val="24"/>
          <w:highlight w:val="none"/>
        </w:rPr>
        <w:t>承包商</w:t>
      </w:r>
      <w:r>
        <w:rPr>
          <w:rFonts w:ascii="宋体" w:hAnsi="宋体"/>
          <w:color w:val="auto"/>
          <w:szCs w:val="24"/>
          <w:highlight w:val="none"/>
        </w:rPr>
        <w:t>发出解除合同通知。采购人因继续完成该工程的需要，有权扣留使用承包商在现场的材料、设备</w:t>
      </w:r>
      <w:r>
        <w:rPr>
          <w:rFonts w:hint="eastAsia" w:ascii="宋体" w:hAnsi="宋体"/>
          <w:color w:val="auto"/>
          <w:szCs w:val="24"/>
          <w:highlight w:val="none"/>
        </w:rPr>
        <w:t>和</w:t>
      </w:r>
      <w:r>
        <w:rPr>
          <w:rFonts w:ascii="宋体" w:hAnsi="宋体"/>
          <w:color w:val="auto"/>
          <w:szCs w:val="24"/>
          <w:highlight w:val="none"/>
        </w:rPr>
        <w:t>临时设施。但采购人的这一行动不免除</w:t>
      </w:r>
      <w:r>
        <w:rPr>
          <w:rFonts w:hint="eastAsia" w:ascii="宋体" w:hAnsi="宋体"/>
          <w:color w:val="auto"/>
          <w:szCs w:val="24"/>
          <w:highlight w:val="none"/>
        </w:rPr>
        <w:t>承包商</w:t>
      </w:r>
      <w:r>
        <w:rPr>
          <w:rFonts w:ascii="宋体" w:hAnsi="宋体"/>
          <w:color w:val="auto"/>
          <w:szCs w:val="24"/>
          <w:highlight w:val="none"/>
        </w:rPr>
        <w:t>应承担的违约责任，也不影响采购人根据合同约定享有的索赔权利</w:t>
      </w:r>
      <w:r>
        <w:rPr>
          <w:rFonts w:hint="eastAsia" w:ascii="宋体" w:hAnsi="宋体"/>
          <w:color w:val="auto"/>
          <w:szCs w:val="24"/>
          <w:highlight w:val="none"/>
        </w:rPr>
        <w:t>。</w:t>
      </w:r>
    </w:p>
    <w:p>
      <w:pPr>
        <w:pStyle w:val="5"/>
        <w:spacing w:before="120" w:after="120" w:line="360" w:lineRule="auto"/>
        <w:jc w:val="left"/>
        <w:rPr>
          <w:rFonts w:ascii="宋体" w:hAnsi="宋体"/>
          <w:color w:val="auto"/>
          <w:sz w:val="24"/>
          <w:szCs w:val="24"/>
          <w:highlight w:val="none"/>
        </w:rPr>
      </w:pPr>
      <w:bookmarkStart w:id="464" w:name="_Toc22120"/>
      <w:bookmarkStart w:id="465" w:name="_Toc419015750"/>
      <w:bookmarkStart w:id="466" w:name="_Toc296602574"/>
      <w:bookmarkStart w:id="467" w:name="_Toc246996324"/>
      <w:bookmarkStart w:id="468" w:name="_Toc246997067"/>
      <w:bookmarkStart w:id="469" w:name="_Toc247085839"/>
      <w:r>
        <w:rPr>
          <w:rFonts w:hint="eastAsia" w:ascii="宋体" w:hAnsi="宋体"/>
          <w:color w:val="auto"/>
          <w:sz w:val="24"/>
          <w:szCs w:val="24"/>
          <w:highlight w:val="none"/>
        </w:rPr>
        <w:t>13.2 采购人违约</w:t>
      </w:r>
      <w:bookmarkEnd w:id="464"/>
      <w:bookmarkEnd w:id="465"/>
      <w:bookmarkEnd w:id="466"/>
      <w:bookmarkEnd w:id="467"/>
      <w:bookmarkEnd w:id="468"/>
      <w:bookmarkEnd w:id="46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13.2.1 </w:t>
      </w:r>
      <w:r>
        <w:rPr>
          <w:rFonts w:ascii="宋体" w:hAnsi="宋体"/>
          <w:color w:val="auto"/>
          <w:szCs w:val="24"/>
          <w:highlight w:val="none"/>
        </w:rPr>
        <w:t>如果采购人未能按合同付款，或违反合同不顾书面警告，承包商可发出通知</w:t>
      </w:r>
      <w:r>
        <w:rPr>
          <w:rFonts w:hint="eastAsia" w:ascii="宋体" w:hAnsi="宋体"/>
          <w:color w:val="auto"/>
          <w:szCs w:val="24"/>
          <w:highlight w:val="none"/>
        </w:rPr>
        <w:t>，告知</w:t>
      </w:r>
      <w:r>
        <w:rPr>
          <w:rFonts w:ascii="宋体" w:hAnsi="宋体"/>
          <w:color w:val="auto"/>
          <w:szCs w:val="24"/>
          <w:highlight w:val="none"/>
        </w:rPr>
        <w:t>采购人违约。如果采购人在收到该通知后</w:t>
      </w:r>
      <w:r>
        <w:rPr>
          <w:rFonts w:hint="eastAsia" w:ascii="宋体" w:hAnsi="宋体"/>
          <w:color w:val="auto"/>
          <w:szCs w:val="24"/>
          <w:highlight w:val="none"/>
        </w:rPr>
        <w:t>7日</w:t>
      </w:r>
      <w:r>
        <w:rPr>
          <w:rFonts w:ascii="宋体" w:hAnsi="宋体"/>
          <w:color w:val="auto"/>
          <w:szCs w:val="24"/>
          <w:highlight w:val="none"/>
        </w:rPr>
        <w:t>内</w:t>
      </w:r>
      <w:r>
        <w:rPr>
          <w:rFonts w:hint="eastAsia" w:ascii="宋体" w:hAnsi="宋体"/>
          <w:color w:val="auto"/>
          <w:szCs w:val="24"/>
          <w:highlight w:val="none"/>
        </w:rPr>
        <w:t>未</w:t>
      </w:r>
      <w:r>
        <w:rPr>
          <w:rFonts w:ascii="宋体" w:hAnsi="宋体"/>
          <w:color w:val="auto"/>
          <w:szCs w:val="24"/>
          <w:highlight w:val="none"/>
        </w:rPr>
        <w:t>纠正违约，承包商可暂停工作或放慢工作进度。</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13.2.2 </w:t>
      </w:r>
      <w:r>
        <w:rPr>
          <w:rFonts w:ascii="宋体" w:hAnsi="宋体"/>
          <w:color w:val="auto"/>
          <w:szCs w:val="24"/>
          <w:highlight w:val="none"/>
        </w:rPr>
        <w:t>如果采购人收到承包商通知后</w:t>
      </w:r>
      <w:r>
        <w:rPr>
          <w:rFonts w:hint="eastAsia" w:ascii="宋体" w:hAnsi="宋体"/>
          <w:color w:val="auto"/>
          <w:szCs w:val="24"/>
          <w:highlight w:val="none"/>
        </w:rPr>
        <w:t>14日</w:t>
      </w:r>
      <w:r>
        <w:rPr>
          <w:rFonts w:ascii="宋体" w:hAnsi="宋体"/>
          <w:color w:val="auto"/>
          <w:szCs w:val="24"/>
          <w:highlight w:val="none"/>
        </w:rPr>
        <w:t>内</w:t>
      </w:r>
      <w:r>
        <w:rPr>
          <w:rFonts w:hint="eastAsia" w:ascii="宋体" w:hAnsi="宋体"/>
          <w:color w:val="auto"/>
          <w:szCs w:val="24"/>
          <w:highlight w:val="none"/>
        </w:rPr>
        <w:t>未</w:t>
      </w:r>
      <w:r>
        <w:rPr>
          <w:rFonts w:ascii="宋体" w:hAnsi="宋体"/>
          <w:color w:val="auto"/>
          <w:szCs w:val="24"/>
          <w:highlight w:val="none"/>
        </w:rPr>
        <w:t>纠正违约，承包商可向采购人发出解除合同通知。合同解除后，承包商应妥善做好已竣工工程和已购材料、设备的保护和移交工作，按采购人要求将承包商设备和人员撤出施工场地，同时采购人应为承包商</w:t>
      </w:r>
      <w:r>
        <w:rPr>
          <w:rFonts w:hint="eastAsia" w:ascii="宋体" w:hAnsi="宋体"/>
          <w:color w:val="auto"/>
          <w:szCs w:val="24"/>
          <w:highlight w:val="none"/>
        </w:rPr>
        <w:t>的</w:t>
      </w:r>
      <w:r>
        <w:rPr>
          <w:rFonts w:ascii="宋体" w:hAnsi="宋体"/>
          <w:color w:val="auto"/>
          <w:szCs w:val="24"/>
          <w:highlight w:val="none"/>
        </w:rPr>
        <w:t>撤出提供必要条件</w:t>
      </w:r>
      <w:r>
        <w:rPr>
          <w:rFonts w:hint="eastAsia" w:ascii="宋体" w:hAnsi="宋体"/>
          <w:color w:val="auto"/>
          <w:szCs w:val="24"/>
          <w:highlight w:val="none"/>
        </w:rPr>
        <w:t>，</w:t>
      </w:r>
      <w:r>
        <w:rPr>
          <w:rFonts w:ascii="宋体" w:hAnsi="宋体"/>
          <w:color w:val="auto"/>
          <w:szCs w:val="24"/>
          <w:highlight w:val="none"/>
        </w:rPr>
        <w:t>但承包商的</w:t>
      </w:r>
      <w:r>
        <w:rPr>
          <w:rFonts w:hint="eastAsia" w:ascii="宋体" w:hAnsi="宋体"/>
          <w:color w:val="auto"/>
          <w:szCs w:val="24"/>
          <w:highlight w:val="none"/>
        </w:rPr>
        <w:t>这一</w:t>
      </w:r>
      <w:r>
        <w:rPr>
          <w:rFonts w:ascii="宋体" w:hAnsi="宋体"/>
          <w:color w:val="auto"/>
          <w:szCs w:val="24"/>
          <w:highlight w:val="none"/>
        </w:rPr>
        <w:t>行动不免除采购人应承担的违约责任，也不影响承包商根据合同约定享有的索赔权利</w:t>
      </w:r>
      <w:r>
        <w:rPr>
          <w:rFonts w:hint="eastAsia" w:ascii="宋体" w:hAnsi="宋体"/>
          <w:color w:val="auto"/>
          <w:szCs w:val="24"/>
          <w:highlight w:val="none"/>
        </w:rPr>
        <w:t>。</w:t>
      </w:r>
    </w:p>
    <w:p>
      <w:pPr>
        <w:pStyle w:val="4"/>
        <w:spacing w:before="240" w:after="120" w:line="360" w:lineRule="auto"/>
        <w:jc w:val="both"/>
        <w:rPr>
          <w:rFonts w:ascii="宋体" w:hAnsi="宋体"/>
          <w:b w:val="0"/>
          <w:color w:val="auto"/>
          <w:sz w:val="28"/>
          <w:szCs w:val="28"/>
          <w:highlight w:val="none"/>
        </w:rPr>
      </w:pPr>
      <w:bookmarkStart w:id="470" w:name="_Toc296602575"/>
      <w:bookmarkStart w:id="471" w:name="_Toc419015751"/>
      <w:bookmarkStart w:id="472" w:name="_Toc10891"/>
      <w:bookmarkStart w:id="473" w:name="_Toc247085841"/>
      <w:bookmarkStart w:id="474" w:name="_Toc246997069"/>
      <w:bookmarkStart w:id="475" w:name="_Toc246996326"/>
      <w:bookmarkStart w:id="476" w:name="_Toc184635120"/>
      <w:r>
        <w:rPr>
          <w:rFonts w:hint="eastAsia" w:ascii="宋体" w:hAnsi="宋体"/>
          <w:b w:val="0"/>
          <w:color w:val="auto"/>
          <w:sz w:val="28"/>
          <w:szCs w:val="28"/>
          <w:highlight w:val="none"/>
        </w:rPr>
        <w:t>14. 索赔</w:t>
      </w:r>
      <w:bookmarkEnd w:id="470"/>
      <w:bookmarkEnd w:id="471"/>
      <w:bookmarkEnd w:id="472"/>
      <w:bookmarkEnd w:id="473"/>
      <w:bookmarkEnd w:id="474"/>
      <w:bookmarkEnd w:id="475"/>
      <w:bookmarkEnd w:id="476"/>
    </w:p>
    <w:p>
      <w:pPr>
        <w:pStyle w:val="5"/>
        <w:spacing w:before="120" w:after="120" w:line="360" w:lineRule="auto"/>
        <w:jc w:val="left"/>
        <w:rPr>
          <w:rFonts w:ascii="宋体" w:hAnsi="宋体"/>
          <w:color w:val="auto"/>
          <w:sz w:val="24"/>
          <w:szCs w:val="24"/>
          <w:highlight w:val="none"/>
        </w:rPr>
      </w:pPr>
      <w:bookmarkStart w:id="477" w:name="_Toc296602576"/>
      <w:bookmarkStart w:id="478" w:name="_Toc247085842"/>
      <w:bookmarkStart w:id="479" w:name="_Toc32394"/>
      <w:bookmarkStart w:id="480" w:name="_Toc246997070"/>
      <w:bookmarkStart w:id="481" w:name="_Toc246996327"/>
      <w:bookmarkStart w:id="482" w:name="_Toc419015752"/>
      <w:r>
        <w:rPr>
          <w:rFonts w:hint="eastAsia" w:ascii="宋体" w:hAnsi="宋体"/>
          <w:color w:val="auto"/>
          <w:sz w:val="24"/>
          <w:szCs w:val="24"/>
          <w:highlight w:val="none"/>
        </w:rPr>
        <w:t>14.1 承包商索赔的提出</w:t>
      </w:r>
      <w:bookmarkEnd w:id="477"/>
      <w:bookmarkEnd w:id="478"/>
      <w:bookmarkEnd w:id="479"/>
      <w:bookmarkEnd w:id="480"/>
      <w:bookmarkEnd w:id="481"/>
      <w:bookmarkEnd w:id="482"/>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根据合同约定，承包商认为有权得到追加付款和（或）延长工期的，应按以下程序向采购人提出索赔：</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（l）承包商应在知道或应当知道索赔事件发生后14日内，向采购人递交索赔通知书。索赔通知书应详细说明索赔理由以及要求追加的付款金额和（或）延长的工期，并附必要的记录和证明材料；</w:t>
      </w:r>
      <w:r>
        <w:rPr>
          <w:rFonts w:ascii="宋体" w:hAnsi="宋体"/>
          <w:color w:val="auto"/>
          <w:szCs w:val="24"/>
          <w:highlight w:val="none"/>
        </w:rPr>
        <w:t xml:space="preserve">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（2）索赔事件具有连续影响的，承包商应在索赔事件影响结束后的14日内，向采购人递交最终索赔通知书，说明最终要求索赔的追加付款金额和延长的工期，并附必要的记录和证明材料；</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（3）承包商未在前述14日内递交索赔通知书的，丧失要求追加付款和（或）延长工期的权利。</w:t>
      </w:r>
    </w:p>
    <w:p>
      <w:pPr>
        <w:pStyle w:val="5"/>
        <w:spacing w:before="120" w:after="120" w:line="360" w:lineRule="auto"/>
        <w:jc w:val="left"/>
        <w:rPr>
          <w:rFonts w:ascii="宋体" w:hAnsi="宋体"/>
          <w:color w:val="auto"/>
          <w:sz w:val="24"/>
          <w:szCs w:val="24"/>
          <w:highlight w:val="none"/>
        </w:rPr>
      </w:pPr>
      <w:bookmarkStart w:id="483" w:name="_Toc246997071"/>
      <w:bookmarkStart w:id="484" w:name="_Toc296602577"/>
      <w:bookmarkStart w:id="485" w:name="_Toc6599"/>
      <w:bookmarkStart w:id="486" w:name="_Toc419015753"/>
      <w:bookmarkStart w:id="487" w:name="_Toc246996328"/>
      <w:bookmarkStart w:id="488" w:name="_Toc247085843"/>
      <w:r>
        <w:rPr>
          <w:rFonts w:hint="eastAsia" w:ascii="宋体" w:hAnsi="宋体"/>
          <w:color w:val="auto"/>
          <w:sz w:val="24"/>
          <w:szCs w:val="24"/>
          <w:highlight w:val="none"/>
        </w:rPr>
        <w:t>14.2 承包商索赔处理程序</w:t>
      </w:r>
      <w:bookmarkEnd w:id="483"/>
      <w:bookmarkEnd w:id="484"/>
      <w:bookmarkEnd w:id="485"/>
      <w:bookmarkEnd w:id="486"/>
      <w:bookmarkEnd w:id="487"/>
      <w:bookmarkEnd w:id="488"/>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（1）采购人收到承包商提交的索赔通知书后，应按双方商定的追加付款和（或）延长的工期，并在收到上述索赔通知书或有关索赔的进一步证明材料后的14日内，将索赔处理结果答复承包商。</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（2）承包商接受索赔处理结果的，采购人应在作出索赔处理结果答复后14日内完成赔付。承包商不接受索赔处理结果的，按第15款的约定执行。</w:t>
      </w:r>
    </w:p>
    <w:p>
      <w:pPr>
        <w:pStyle w:val="5"/>
        <w:spacing w:before="120" w:after="120" w:line="360" w:lineRule="auto"/>
        <w:jc w:val="left"/>
        <w:rPr>
          <w:rFonts w:ascii="宋体" w:hAnsi="宋体"/>
          <w:color w:val="auto"/>
          <w:sz w:val="24"/>
          <w:szCs w:val="24"/>
          <w:highlight w:val="none"/>
        </w:rPr>
      </w:pPr>
      <w:bookmarkStart w:id="489" w:name="_Toc246996329"/>
      <w:bookmarkStart w:id="490" w:name="_Toc419015754"/>
      <w:bookmarkStart w:id="491" w:name="_Toc10513"/>
      <w:bookmarkStart w:id="492" w:name="_Toc247085844"/>
      <w:bookmarkStart w:id="493" w:name="_Toc246997072"/>
      <w:bookmarkStart w:id="494" w:name="_Toc296602578"/>
      <w:r>
        <w:rPr>
          <w:rFonts w:hint="eastAsia" w:ascii="宋体" w:hAnsi="宋体"/>
          <w:color w:val="auto"/>
          <w:sz w:val="24"/>
          <w:szCs w:val="24"/>
          <w:highlight w:val="none"/>
        </w:rPr>
        <w:t>14.3 承包商提出索赔的期限</w:t>
      </w:r>
      <w:bookmarkEnd w:id="489"/>
      <w:bookmarkEnd w:id="490"/>
      <w:bookmarkEnd w:id="491"/>
      <w:bookmarkEnd w:id="492"/>
      <w:bookmarkEnd w:id="493"/>
      <w:bookmarkEnd w:id="494"/>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承包商按第9.3 款的约定接受了竣工付款证书后，应被认为已无权再提出在合同工程竣工验收单颁发前所发生的任何索赔。</w:t>
      </w:r>
    </w:p>
    <w:p>
      <w:pPr>
        <w:pStyle w:val="5"/>
        <w:spacing w:before="120" w:after="120" w:line="360" w:lineRule="auto"/>
        <w:jc w:val="left"/>
        <w:rPr>
          <w:rFonts w:ascii="宋体" w:hAnsi="宋体"/>
          <w:color w:val="auto"/>
          <w:sz w:val="24"/>
          <w:szCs w:val="24"/>
          <w:highlight w:val="none"/>
        </w:rPr>
      </w:pPr>
      <w:bookmarkStart w:id="495" w:name="_Toc9245"/>
      <w:bookmarkStart w:id="496" w:name="_Toc296602579"/>
      <w:bookmarkStart w:id="497" w:name="_Toc419015755"/>
      <w:r>
        <w:rPr>
          <w:rFonts w:hint="eastAsia" w:ascii="宋体" w:hAnsi="宋体"/>
          <w:color w:val="auto"/>
          <w:sz w:val="24"/>
          <w:szCs w:val="24"/>
          <w:highlight w:val="none"/>
        </w:rPr>
        <w:t>14.4 采购人索赔的提出</w:t>
      </w:r>
      <w:bookmarkEnd w:id="495"/>
      <w:bookmarkEnd w:id="496"/>
      <w:bookmarkEnd w:id="497"/>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根据合同约定，采购人认为有权得到追加付款和（或）延长工期的，应按以下程序向承包商提出索赔：</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（l）采购人应在知道或应当知道索赔事件发生后14日内，向承包商递交索赔通知书。索赔通知书应详细说明索赔理由以及要求追加的付款金额和（或）延长的工期，并附必要的记录和证明材料；</w:t>
      </w:r>
      <w:r>
        <w:rPr>
          <w:rFonts w:ascii="宋体" w:hAnsi="宋体"/>
          <w:color w:val="auto"/>
          <w:szCs w:val="24"/>
          <w:highlight w:val="none"/>
        </w:rPr>
        <w:t xml:space="preserve">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（2）索赔事件具有连续影响的，采购人应在索赔事件影响结束后的14日内，向承包商递交最终索赔通知书，说明最终要求索赔的追加付款金额和延长的工期，并附必要的记录和证明材料。</w:t>
      </w:r>
    </w:p>
    <w:p>
      <w:pPr>
        <w:pStyle w:val="5"/>
        <w:spacing w:before="120" w:after="120" w:line="360" w:lineRule="auto"/>
        <w:jc w:val="left"/>
        <w:rPr>
          <w:rFonts w:ascii="宋体" w:hAnsi="宋体"/>
          <w:color w:val="auto"/>
          <w:sz w:val="24"/>
          <w:szCs w:val="24"/>
          <w:highlight w:val="none"/>
        </w:rPr>
      </w:pPr>
      <w:bookmarkStart w:id="498" w:name="_Toc5229"/>
      <w:bookmarkStart w:id="499" w:name="_Toc296602580"/>
      <w:bookmarkStart w:id="500" w:name="_Toc419015756"/>
      <w:r>
        <w:rPr>
          <w:rFonts w:hint="eastAsia" w:ascii="宋体" w:hAnsi="宋体"/>
          <w:color w:val="auto"/>
          <w:sz w:val="24"/>
          <w:szCs w:val="24"/>
          <w:highlight w:val="none"/>
        </w:rPr>
        <w:t>14.5 采购人索赔处理程序</w:t>
      </w:r>
      <w:bookmarkEnd w:id="498"/>
      <w:bookmarkEnd w:id="499"/>
      <w:bookmarkEnd w:id="500"/>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（1）承包商收到采购人提交的索赔通知书后，应按双方商定或确定追加的付款和（或）延长的工期，并在收到上述索赔通知书或有关索赔的进一步证明材料后的14日内，将索赔处理结果答复采购人。</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（2）采购人接受索赔处理结果的，承包商应在作出索赔处理结果答复后14日内完成赔付。采购人不接受索赔处理结果的，按第15款的约定执行。</w:t>
      </w:r>
    </w:p>
    <w:p>
      <w:pPr>
        <w:pStyle w:val="4"/>
        <w:spacing w:before="240" w:after="120" w:line="360" w:lineRule="auto"/>
        <w:jc w:val="both"/>
        <w:rPr>
          <w:rFonts w:ascii="宋体" w:hAnsi="宋体"/>
          <w:b w:val="0"/>
          <w:color w:val="auto"/>
          <w:sz w:val="28"/>
          <w:szCs w:val="28"/>
          <w:highlight w:val="none"/>
        </w:rPr>
      </w:pPr>
      <w:bookmarkStart w:id="501" w:name="_Toc246996331"/>
      <w:bookmarkStart w:id="502" w:name="_Toc419015757"/>
      <w:bookmarkStart w:id="503" w:name="_Toc19090"/>
      <w:bookmarkStart w:id="504" w:name="_Toc184635121"/>
      <w:bookmarkStart w:id="505" w:name="_Toc296602581"/>
      <w:bookmarkStart w:id="506" w:name="_Toc246997074"/>
      <w:bookmarkStart w:id="507" w:name="_Toc247085846"/>
      <w:r>
        <w:rPr>
          <w:rFonts w:hint="eastAsia" w:ascii="宋体" w:hAnsi="宋体"/>
          <w:b w:val="0"/>
          <w:color w:val="auto"/>
          <w:sz w:val="28"/>
          <w:szCs w:val="28"/>
          <w:highlight w:val="none"/>
        </w:rPr>
        <w:t>15. 争议的解决</w:t>
      </w:r>
      <w:bookmarkEnd w:id="501"/>
      <w:bookmarkEnd w:id="502"/>
      <w:bookmarkEnd w:id="503"/>
      <w:bookmarkEnd w:id="504"/>
      <w:bookmarkEnd w:id="505"/>
      <w:bookmarkEnd w:id="506"/>
      <w:bookmarkEnd w:id="507"/>
    </w:p>
    <w:p>
      <w:pPr>
        <w:pStyle w:val="5"/>
        <w:spacing w:before="120" w:after="120" w:line="360" w:lineRule="auto"/>
        <w:jc w:val="left"/>
        <w:rPr>
          <w:rFonts w:ascii="宋体" w:hAnsi="宋体"/>
          <w:color w:val="auto"/>
          <w:sz w:val="24"/>
          <w:szCs w:val="24"/>
          <w:highlight w:val="none"/>
        </w:rPr>
      </w:pPr>
      <w:bookmarkStart w:id="508" w:name="_Toc419015758"/>
      <w:bookmarkStart w:id="509" w:name="_Toc246996332"/>
      <w:bookmarkStart w:id="510" w:name="_Toc246997075"/>
      <w:bookmarkStart w:id="511" w:name="_Toc296602582"/>
      <w:bookmarkStart w:id="512" w:name="_Toc20631"/>
      <w:bookmarkStart w:id="513" w:name="_Toc247085847"/>
      <w:r>
        <w:rPr>
          <w:rFonts w:hint="eastAsia" w:ascii="宋体" w:hAnsi="宋体"/>
          <w:color w:val="auto"/>
          <w:sz w:val="24"/>
          <w:szCs w:val="24"/>
          <w:highlight w:val="none"/>
        </w:rPr>
        <w:t>15.1 争议的解决方式</w:t>
      </w:r>
      <w:bookmarkEnd w:id="508"/>
      <w:bookmarkEnd w:id="509"/>
      <w:bookmarkEnd w:id="510"/>
      <w:bookmarkEnd w:id="511"/>
      <w:bookmarkEnd w:id="512"/>
      <w:bookmarkEnd w:id="513"/>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采购人和承包商在履行合同中发生争议的，可以友好协商解决。合同当事人友好协商解决不成的，可向有管辖权的人民法院提起诉讼。</w:t>
      </w:r>
    </w:p>
    <w:p>
      <w:pPr>
        <w:pStyle w:val="5"/>
        <w:spacing w:before="120" w:after="120" w:line="360" w:lineRule="auto"/>
        <w:jc w:val="left"/>
        <w:rPr>
          <w:rFonts w:ascii="宋体" w:hAnsi="宋体"/>
          <w:color w:val="auto"/>
          <w:sz w:val="24"/>
          <w:szCs w:val="24"/>
          <w:highlight w:val="none"/>
        </w:rPr>
      </w:pPr>
      <w:bookmarkStart w:id="514" w:name="_Toc246996333"/>
      <w:bookmarkStart w:id="515" w:name="_Toc296602583"/>
      <w:bookmarkStart w:id="516" w:name="_Toc246997076"/>
      <w:bookmarkStart w:id="517" w:name="_Toc247085848"/>
      <w:bookmarkStart w:id="518" w:name="_Toc419015759"/>
      <w:bookmarkStart w:id="519" w:name="_Toc19481"/>
      <w:r>
        <w:rPr>
          <w:rFonts w:hint="eastAsia" w:ascii="宋体" w:hAnsi="宋体"/>
          <w:color w:val="auto"/>
          <w:sz w:val="24"/>
          <w:szCs w:val="24"/>
          <w:highlight w:val="none"/>
        </w:rPr>
        <w:t>15.2 友好解决</w:t>
      </w:r>
      <w:bookmarkEnd w:id="514"/>
      <w:bookmarkEnd w:id="515"/>
      <w:bookmarkEnd w:id="516"/>
      <w:bookmarkEnd w:id="517"/>
      <w:bookmarkEnd w:id="518"/>
      <w:bookmarkEnd w:id="519"/>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在提请诉讼前，以及在诉讼过程中，采购人和承包商均可共同努力友好协商解决争议。</w:t>
      </w:r>
      <w:bookmarkStart w:id="520" w:name="_Toc511313438"/>
      <w:bookmarkStart w:id="521" w:name="_Toc511314348"/>
      <w:bookmarkStart w:id="522" w:name="_Toc23569"/>
      <w:bookmarkStart w:id="523" w:name="_Toc32045"/>
      <w:bookmarkStart w:id="524" w:name="_Toc452554738"/>
      <w:bookmarkStart w:id="525" w:name="_Toc512326868"/>
      <w:bookmarkStart w:id="526" w:name="_Toc511314024"/>
    </w:p>
    <w:p>
      <w:pPr>
        <w:spacing w:line="360" w:lineRule="auto"/>
        <w:rPr>
          <w:rFonts w:ascii="宋体" w:hAnsi="宋体"/>
          <w:b/>
          <w:bCs/>
          <w:color w:val="auto"/>
          <w:szCs w:val="24"/>
          <w:highlight w:val="none"/>
        </w:rPr>
      </w:pPr>
      <w:r>
        <w:rPr>
          <w:rFonts w:hint="eastAsia" w:ascii="宋体" w:hAnsi="宋体"/>
          <w:b/>
          <w:bCs/>
          <w:color w:val="auto"/>
          <w:szCs w:val="24"/>
          <w:highlight w:val="none"/>
        </w:rPr>
        <w:t>16. 补充条款</w:t>
      </w:r>
      <w:bookmarkEnd w:id="520"/>
      <w:bookmarkEnd w:id="521"/>
      <w:bookmarkEnd w:id="522"/>
      <w:bookmarkEnd w:id="523"/>
      <w:bookmarkEnd w:id="524"/>
      <w:bookmarkEnd w:id="525"/>
      <w:bookmarkEnd w:id="526"/>
    </w:p>
    <w:p>
      <w:pPr>
        <w:spacing w:line="360" w:lineRule="auto"/>
        <w:ind w:firstLine="482" w:firstLineChars="201"/>
        <w:rPr>
          <w:bCs/>
          <w:color w:val="auto"/>
          <w:highlight w:val="none"/>
        </w:rPr>
      </w:pPr>
      <w:r>
        <w:rPr>
          <w:rFonts w:hint="eastAsia"/>
          <w:bCs/>
          <w:color w:val="auto"/>
          <w:highlight w:val="none"/>
        </w:rPr>
        <w:t>16.1 本合同适用于工程的标准规范包括（但不限于）：国家、江西省、地方和行业的现行有关技术规范和行业标准（如标准之间存在不一致之处，以要求较高的标准为准），无相关要求以发包人要求为准。</w:t>
      </w:r>
    </w:p>
    <w:p>
      <w:pPr>
        <w:spacing w:line="360" w:lineRule="auto"/>
        <w:ind w:firstLine="420"/>
        <w:rPr>
          <w:bCs/>
          <w:color w:val="auto"/>
          <w:highlight w:val="none"/>
        </w:rPr>
      </w:pPr>
      <w:r>
        <w:rPr>
          <w:rFonts w:hint="eastAsia"/>
          <w:bCs/>
          <w:color w:val="auto"/>
          <w:highlight w:val="none"/>
        </w:rPr>
        <w:t>16.2 承包人进场后，需负责工地四邻建筑、既有管线、相邻道路、绿化苗木等既有建筑物的安全，对于因施工引起四邻既有建筑物受影响破坏的，相关责任由承包人承担。因承包人的原因造成的在施工过程中与周边社区、居民、建筑物等所产生的投诉、纠纷等由承包人负责协调并解决。</w:t>
      </w:r>
    </w:p>
    <w:p>
      <w:pPr>
        <w:spacing w:line="360" w:lineRule="auto"/>
        <w:ind w:firstLine="482" w:firstLineChars="201"/>
        <w:rPr>
          <w:bCs/>
          <w:color w:val="auto"/>
          <w:highlight w:val="none"/>
        </w:rPr>
      </w:pPr>
    </w:p>
    <w:p>
      <w:pPr>
        <w:spacing w:line="360" w:lineRule="auto"/>
        <w:rPr>
          <w:rFonts w:ascii="宋体" w:hAnsi="宋体"/>
          <w:b/>
          <w:bCs/>
          <w:color w:val="auto"/>
          <w:szCs w:val="24"/>
          <w:highlight w:val="none"/>
        </w:rPr>
      </w:pPr>
      <w:r>
        <w:rPr>
          <w:rFonts w:hint="eastAsia" w:ascii="宋体" w:hAnsi="宋体"/>
          <w:b/>
          <w:bCs/>
          <w:color w:val="auto"/>
          <w:szCs w:val="24"/>
          <w:highlight w:val="none"/>
        </w:rPr>
        <w:t>17.其它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17.1 本项目不得转包，如需将部分工程分包，分包行为和分包单位（应具备相应资质）均须征得甲方的书面认可，未经甲方书面认可不得分包。</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17.2 本合同一式肆份，甲方乙方各执贰份，未尽事宜由双方共同另行商议。</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17.3 合同生效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本合同经双方签字盖章后生效。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（以下无正文 转签字盖章页）</w:t>
      </w:r>
    </w:p>
    <w:p>
      <w:pPr>
        <w:spacing w:line="360" w:lineRule="auto"/>
        <w:ind w:firstLine="480" w:firstLineChars="200"/>
        <w:rPr>
          <w:rFonts w:ascii="宋体" w:hAnsi="宋体"/>
          <w:color w:val="auto"/>
          <w:szCs w:val="24"/>
          <w:highlight w:val="none"/>
        </w:rPr>
      </w:pPr>
    </w:p>
    <w:p>
      <w:pPr>
        <w:spacing w:line="360" w:lineRule="auto"/>
        <w:ind w:firstLine="480" w:firstLineChars="200"/>
        <w:rPr>
          <w:rFonts w:ascii="宋体" w:hAnsi="宋体"/>
          <w:color w:val="auto"/>
          <w:szCs w:val="24"/>
          <w:highlight w:val="none"/>
        </w:rPr>
      </w:pPr>
    </w:p>
    <w:p>
      <w:pPr>
        <w:spacing w:line="360" w:lineRule="auto"/>
        <w:ind w:firstLine="480" w:firstLineChars="200"/>
        <w:rPr>
          <w:rFonts w:ascii="宋体" w:hAnsi="宋体"/>
          <w:color w:val="auto"/>
          <w:szCs w:val="24"/>
          <w:highlight w:val="none"/>
        </w:rPr>
      </w:pPr>
    </w:p>
    <w:p>
      <w:pPr>
        <w:spacing w:line="360" w:lineRule="auto"/>
        <w:ind w:firstLine="480" w:firstLineChars="200"/>
        <w:rPr>
          <w:rFonts w:ascii="宋体" w:hAnsi="宋体"/>
          <w:color w:val="auto"/>
          <w:szCs w:val="24"/>
          <w:highlight w:val="none"/>
        </w:rPr>
      </w:pP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（签字盖章页）</w:t>
      </w:r>
    </w:p>
    <w:p>
      <w:pPr>
        <w:spacing w:line="360" w:lineRule="auto"/>
        <w:ind w:firstLine="480" w:firstLineChars="200"/>
        <w:rPr>
          <w:rFonts w:ascii="宋体" w:hAnsi="宋体"/>
          <w:color w:val="auto"/>
          <w:szCs w:val="24"/>
          <w:highlight w:val="none"/>
        </w:rPr>
      </w:pPr>
      <w:r>
        <w:rPr>
          <w:color w:val="auto"/>
          <w:szCs w:val="21"/>
          <w:highlight w:val="none"/>
        </w:rPr>
        <w:t>采购人</w:t>
      </w:r>
      <w:r>
        <w:rPr>
          <w:rFonts w:hint="eastAsia" w:ascii="宋体" w:hAnsi="宋体"/>
          <w:color w:val="auto"/>
          <w:szCs w:val="24"/>
          <w:highlight w:val="none"/>
        </w:rPr>
        <w:t xml:space="preserve">（章）：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住所：江西省南昌市西湖区广场南路136号交通物质大楼3楼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法定代表人（委托代理人）：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开户银行：</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帐号：</w:t>
      </w:r>
    </w:p>
    <w:p>
      <w:pPr>
        <w:spacing w:line="360" w:lineRule="auto"/>
        <w:ind w:firstLine="480" w:firstLineChars="200"/>
        <w:rPr>
          <w:rFonts w:ascii="宋体" w:hAnsi="宋体"/>
          <w:color w:val="auto"/>
          <w:szCs w:val="24"/>
          <w:highlight w:val="none"/>
        </w:rPr>
      </w:pPr>
    </w:p>
    <w:p>
      <w:pPr>
        <w:spacing w:line="360" w:lineRule="auto"/>
        <w:ind w:firstLine="480" w:firstLineChars="200"/>
        <w:rPr>
          <w:rFonts w:ascii="宋体" w:hAnsi="宋体"/>
          <w:color w:val="auto"/>
          <w:szCs w:val="24"/>
          <w:highlight w:val="none"/>
        </w:rPr>
      </w:pPr>
      <w:r>
        <w:rPr>
          <w:color w:val="auto"/>
          <w:szCs w:val="21"/>
          <w:highlight w:val="none"/>
        </w:rPr>
        <w:t>承包商</w:t>
      </w:r>
      <w:r>
        <w:rPr>
          <w:rFonts w:hint="eastAsia" w:ascii="宋体" w:hAnsi="宋体"/>
          <w:color w:val="auto"/>
          <w:szCs w:val="24"/>
          <w:highlight w:val="none"/>
        </w:rPr>
        <w:t xml:space="preserve">（章）：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住所：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法定代表人（委托代理人）：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开户银行：</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帐号：</w:t>
      </w:r>
    </w:p>
    <w:p>
      <w:pPr>
        <w:spacing w:line="360" w:lineRule="auto"/>
        <w:rPr>
          <w:rFonts w:ascii="宋体" w:hAnsi="宋体"/>
          <w:color w:val="auto"/>
          <w:sz w:val="28"/>
          <w:szCs w:val="28"/>
          <w:highlight w:val="none"/>
        </w:rPr>
      </w:pPr>
      <w:bookmarkStart w:id="527" w:name="_Toc246996336"/>
      <w:bookmarkStart w:id="528" w:name="_Toc419015760"/>
      <w:bookmarkStart w:id="529" w:name="_Toc152042546"/>
      <w:bookmarkStart w:id="530" w:name="_Toc179632785"/>
      <w:bookmarkStart w:id="531" w:name="_Toc247085851"/>
      <w:bookmarkStart w:id="532" w:name="_Toc246997079"/>
      <w:bookmarkStart w:id="533" w:name="_Toc152045767"/>
      <w:bookmarkStart w:id="534" w:name="_Toc296602586"/>
      <w:bookmarkStart w:id="535" w:name="_Toc144974826"/>
      <w:r>
        <w:rPr>
          <w:rFonts w:hint="eastAsia" w:ascii="宋体" w:hAnsi="宋体"/>
          <w:color w:val="auto"/>
          <w:sz w:val="28"/>
          <w:szCs w:val="28"/>
          <w:highlight w:val="none"/>
        </w:rPr>
        <w:br w:type="page"/>
      </w:r>
    </w:p>
    <w:p>
      <w:pPr>
        <w:pStyle w:val="4"/>
        <w:spacing w:before="240" w:after="120" w:line="360" w:lineRule="auto"/>
        <w:rPr>
          <w:rFonts w:ascii="宋体" w:hAnsi="宋体"/>
          <w:b w:val="0"/>
          <w:color w:val="auto"/>
          <w:sz w:val="28"/>
          <w:szCs w:val="28"/>
          <w:highlight w:val="none"/>
        </w:rPr>
      </w:pPr>
      <w:bookmarkStart w:id="536" w:name="_Toc25377"/>
      <w:r>
        <w:rPr>
          <w:rFonts w:hint="eastAsia" w:ascii="宋体" w:hAnsi="宋体"/>
          <w:b w:val="0"/>
          <w:color w:val="auto"/>
          <w:sz w:val="28"/>
          <w:szCs w:val="28"/>
          <w:highlight w:val="none"/>
        </w:rPr>
        <w:t>第二节 合同附件格式</w:t>
      </w:r>
      <w:bookmarkEnd w:id="527"/>
      <w:bookmarkEnd w:id="528"/>
      <w:bookmarkEnd w:id="529"/>
      <w:bookmarkEnd w:id="530"/>
      <w:bookmarkEnd w:id="531"/>
      <w:bookmarkEnd w:id="532"/>
      <w:bookmarkEnd w:id="533"/>
      <w:bookmarkEnd w:id="534"/>
      <w:bookmarkEnd w:id="535"/>
      <w:bookmarkEnd w:id="536"/>
    </w:p>
    <w:p>
      <w:pPr>
        <w:pStyle w:val="5"/>
        <w:spacing w:before="120" w:after="120" w:line="360" w:lineRule="auto"/>
        <w:jc w:val="left"/>
        <w:rPr>
          <w:rFonts w:ascii="宋体" w:hAnsi="宋体"/>
          <w:color w:val="auto"/>
          <w:sz w:val="24"/>
          <w:szCs w:val="24"/>
          <w:highlight w:val="none"/>
        </w:rPr>
      </w:pPr>
      <w:bookmarkStart w:id="537" w:name="_Toc247085852"/>
      <w:bookmarkStart w:id="538" w:name="_Toc246996337"/>
      <w:bookmarkStart w:id="539" w:name="_Toc152042547"/>
      <w:bookmarkStart w:id="540" w:name="_Toc179632786"/>
      <w:bookmarkStart w:id="541" w:name="_Toc11703"/>
      <w:bookmarkStart w:id="542" w:name="_Toc152045768"/>
      <w:bookmarkStart w:id="543" w:name="_Toc144974827"/>
      <w:bookmarkStart w:id="544" w:name="_Toc246997080"/>
      <w:r>
        <w:rPr>
          <w:rFonts w:hint="eastAsia" w:ascii="宋体" w:hAnsi="宋体"/>
          <w:color w:val="auto"/>
          <w:sz w:val="24"/>
          <w:szCs w:val="24"/>
          <w:highlight w:val="none"/>
        </w:rPr>
        <w:t>附件一：合同协议书</w:t>
      </w:r>
      <w:bookmarkEnd w:id="537"/>
      <w:bookmarkEnd w:id="538"/>
      <w:bookmarkEnd w:id="539"/>
      <w:bookmarkEnd w:id="540"/>
      <w:bookmarkEnd w:id="541"/>
      <w:bookmarkEnd w:id="542"/>
      <w:bookmarkEnd w:id="543"/>
      <w:bookmarkEnd w:id="544"/>
    </w:p>
    <w:p>
      <w:pPr>
        <w:spacing w:line="440" w:lineRule="exact"/>
        <w:jc w:val="center"/>
        <w:rPr>
          <w:rFonts w:ascii="黑体" w:eastAsia="黑体"/>
          <w:color w:val="auto"/>
          <w:sz w:val="28"/>
          <w:szCs w:val="28"/>
          <w:highlight w:val="none"/>
        </w:rPr>
      </w:pPr>
      <w:r>
        <w:rPr>
          <w:rFonts w:hint="eastAsia" w:ascii="黑体" w:eastAsia="黑体"/>
          <w:color w:val="auto"/>
          <w:sz w:val="28"/>
          <w:szCs w:val="28"/>
          <w:highlight w:val="none"/>
        </w:rPr>
        <w:t>合同协议书</w:t>
      </w:r>
    </w:p>
    <w:p>
      <w:pPr>
        <w:spacing w:line="440" w:lineRule="exact"/>
        <w:rPr>
          <w:color w:val="auto"/>
          <w:szCs w:val="21"/>
          <w:highlight w:val="none"/>
        </w:rPr>
      </w:pPr>
    </w:p>
    <w:p>
      <w:pPr>
        <w:spacing w:line="440" w:lineRule="exact"/>
        <w:ind w:firstLine="528" w:firstLineChars="220"/>
        <w:rPr>
          <w:color w:val="auto"/>
          <w:szCs w:val="21"/>
          <w:highlight w:val="none"/>
        </w:rPr>
      </w:pPr>
      <w:r>
        <w:rPr>
          <w:color w:val="auto"/>
          <w:szCs w:val="21"/>
          <w:highlight w:val="none"/>
          <w:u w:val="single"/>
        </w:rPr>
        <w:t xml:space="preserve">       </w:t>
      </w:r>
      <w:r>
        <w:rPr>
          <w:color w:val="auto"/>
          <w:szCs w:val="21"/>
          <w:highlight w:val="none"/>
        </w:rPr>
        <w:t>（采购人名称，以下简称“采购人”）为实施</w:t>
      </w:r>
      <w:r>
        <w:rPr>
          <w:color w:val="auto"/>
          <w:szCs w:val="21"/>
          <w:highlight w:val="none"/>
          <w:u w:val="single"/>
        </w:rPr>
        <w:t xml:space="preserve">                        </w:t>
      </w:r>
      <w:r>
        <w:rPr>
          <w:color w:val="auto"/>
          <w:szCs w:val="21"/>
          <w:highlight w:val="none"/>
        </w:rPr>
        <w:t>（项目名称），已接受</w:t>
      </w:r>
      <w:r>
        <w:rPr>
          <w:color w:val="auto"/>
          <w:szCs w:val="21"/>
          <w:highlight w:val="none"/>
          <w:u w:val="single"/>
        </w:rPr>
        <w:t xml:space="preserve">        </w:t>
      </w:r>
      <w:r>
        <w:rPr>
          <w:color w:val="auto"/>
          <w:szCs w:val="21"/>
          <w:highlight w:val="none"/>
        </w:rPr>
        <w:t>（承包商名称，以下简称“承包商”）对该项目</w:t>
      </w:r>
      <w:r>
        <w:rPr>
          <w:rFonts w:hint="eastAsia"/>
          <w:color w:val="auto"/>
          <w:szCs w:val="21"/>
          <w:highlight w:val="none"/>
        </w:rPr>
        <w:t>的响应</w:t>
      </w:r>
      <w:r>
        <w:rPr>
          <w:color w:val="auto"/>
          <w:szCs w:val="21"/>
          <w:highlight w:val="none"/>
        </w:rPr>
        <w:t>。采购人和承包商共同达成如下协议。</w:t>
      </w:r>
    </w:p>
    <w:p>
      <w:pPr>
        <w:spacing w:line="440" w:lineRule="exact"/>
        <w:ind w:firstLine="410" w:firstLineChars="171"/>
        <w:rPr>
          <w:color w:val="auto"/>
          <w:szCs w:val="21"/>
          <w:highlight w:val="none"/>
        </w:rPr>
      </w:pPr>
      <w:bookmarkStart w:id="545" w:name="_Toc144974828"/>
      <w:bookmarkStart w:id="546" w:name="_Toc152042548"/>
      <w:r>
        <w:rPr>
          <w:color w:val="auto"/>
          <w:szCs w:val="21"/>
          <w:highlight w:val="none"/>
        </w:rPr>
        <w:t>1. 本协议书与下列文件一起构成合同文件：</w:t>
      </w:r>
      <w:bookmarkEnd w:id="545"/>
      <w:bookmarkEnd w:id="546"/>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（1）成交通知书；</w:t>
      </w:r>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（2）响应文件；</w:t>
      </w:r>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（3）合同条款（含采购文件补遗书中与此有关的部分）；</w:t>
      </w:r>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（4）技术标准和要求；</w:t>
      </w:r>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（5）已标价工程量清单；</w:t>
      </w:r>
    </w:p>
    <w:p>
      <w:pPr>
        <w:spacing w:line="440" w:lineRule="exact"/>
        <w:ind w:firstLine="820" w:firstLineChars="342"/>
        <w:rPr>
          <w:rFonts w:ascii="Times New Roman" w:hAnsi="Times New Roman"/>
          <w:color w:val="auto"/>
          <w:szCs w:val="21"/>
          <w:highlight w:val="none"/>
        </w:rPr>
      </w:pPr>
      <w:r>
        <w:rPr>
          <w:rFonts w:hint="eastAsia" w:ascii="Times New Roman" w:hAnsi="Times New Roman"/>
          <w:color w:val="auto"/>
          <w:szCs w:val="21"/>
          <w:highlight w:val="none"/>
        </w:rPr>
        <w:t>（6）承包商有关人员、机械、设备投入的承诺及响应文件中的技术方案等</w:t>
      </w:r>
      <w:r>
        <w:rPr>
          <w:rFonts w:hint="eastAsia"/>
          <w:color w:val="auto"/>
          <w:szCs w:val="21"/>
          <w:highlight w:val="none"/>
        </w:rPr>
        <w:t>；</w:t>
      </w:r>
    </w:p>
    <w:p>
      <w:pPr>
        <w:spacing w:line="440" w:lineRule="exact"/>
        <w:ind w:firstLine="820" w:firstLineChars="342"/>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）其他合同文件。</w:t>
      </w:r>
    </w:p>
    <w:p>
      <w:pPr>
        <w:spacing w:line="440" w:lineRule="exact"/>
        <w:ind w:firstLine="410" w:firstLineChars="171"/>
        <w:rPr>
          <w:color w:val="auto"/>
          <w:szCs w:val="21"/>
          <w:highlight w:val="none"/>
        </w:rPr>
      </w:pPr>
      <w:bookmarkStart w:id="547" w:name="_Toc144974829"/>
      <w:bookmarkStart w:id="548" w:name="_Toc152042549"/>
      <w:r>
        <w:rPr>
          <w:color w:val="auto"/>
          <w:szCs w:val="21"/>
          <w:highlight w:val="none"/>
        </w:rPr>
        <w:t>2. 上述文件互相补充和解释，如有不明确或不一致之处，以合同约定次序在先者为准。</w:t>
      </w:r>
      <w:bookmarkEnd w:id="547"/>
      <w:bookmarkEnd w:id="548"/>
    </w:p>
    <w:p>
      <w:pPr>
        <w:spacing w:line="440" w:lineRule="exact"/>
        <w:ind w:firstLine="410" w:firstLineChars="171"/>
        <w:rPr>
          <w:color w:val="auto"/>
          <w:szCs w:val="21"/>
          <w:highlight w:val="none"/>
        </w:rPr>
      </w:pPr>
      <w:r>
        <w:rPr>
          <w:color w:val="auto"/>
          <w:szCs w:val="21"/>
          <w:highlight w:val="none"/>
        </w:rPr>
        <w:t>3. 签约合同价：人民币（大写）</w:t>
      </w:r>
      <w:r>
        <w:rPr>
          <w:color w:val="auto"/>
          <w:szCs w:val="21"/>
          <w:highlight w:val="none"/>
          <w:u w:val="single"/>
        </w:rPr>
        <w:t xml:space="preserve">          </w:t>
      </w:r>
      <w:r>
        <w:rPr>
          <w:color w:val="auto"/>
          <w:szCs w:val="21"/>
          <w:highlight w:val="none"/>
        </w:rPr>
        <w:t>（¥</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p>
    <w:p>
      <w:pPr>
        <w:spacing w:line="440" w:lineRule="exact"/>
        <w:ind w:firstLine="410" w:firstLineChars="171"/>
        <w:rPr>
          <w:color w:val="auto"/>
          <w:szCs w:val="21"/>
          <w:highlight w:val="none"/>
        </w:rPr>
      </w:pPr>
      <w:r>
        <w:rPr>
          <w:rFonts w:hint="eastAsia"/>
          <w:color w:val="auto"/>
          <w:szCs w:val="21"/>
          <w:highlight w:val="none"/>
        </w:rPr>
        <w:t>4. 合同形式：</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80" w:firstLineChars="200"/>
        <w:rPr>
          <w:color w:val="auto"/>
          <w:szCs w:val="21"/>
          <w:highlight w:val="none"/>
        </w:rPr>
      </w:pPr>
      <w:r>
        <w:rPr>
          <w:rFonts w:hint="eastAsia"/>
          <w:color w:val="auto"/>
          <w:szCs w:val="21"/>
          <w:highlight w:val="none"/>
        </w:rPr>
        <w:t>5. 计划工期：</w:t>
      </w:r>
      <w:r>
        <w:rPr>
          <w:rFonts w:hint="eastAsia"/>
          <w:color w:val="auto"/>
          <w:szCs w:val="21"/>
          <w:highlight w:val="none"/>
          <w:u w:val="single"/>
        </w:rPr>
        <w:t xml:space="preserve">                  </w:t>
      </w:r>
      <w:r>
        <w:rPr>
          <w:rFonts w:hint="eastAsia"/>
          <w:color w:val="auto"/>
          <w:szCs w:val="21"/>
          <w:highlight w:val="none"/>
        </w:rPr>
        <w:t>日历天。</w:t>
      </w:r>
    </w:p>
    <w:p>
      <w:pPr>
        <w:spacing w:line="440" w:lineRule="exact"/>
        <w:ind w:firstLine="410" w:firstLineChars="171"/>
        <w:rPr>
          <w:color w:val="auto"/>
          <w:szCs w:val="21"/>
          <w:highlight w:val="none"/>
        </w:rPr>
      </w:pPr>
      <w:r>
        <w:rPr>
          <w:rFonts w:hint="eastAsia"/>
          <w:color w:val="auto"/>
          <w:szCs w:val="21"/>
          <w:highlight w:val="none"/>
        </w:rPr>
        <w:t>6</w:t>
      </w:r>
      <w:r>
        <w:rPr>
          <w:color w:val="auto"/>
          <w:szCs w:val="21"/>
          <w:highlight w:val="none"/>
        </w:rPr>
        <w:t xml:space="preserve">. </w:t>
      </w:r>
      <w:r>
        <w:rPr>
          <w:rFonts w:hint="eastAsia"/>
          <w:color w:val="auto"/>
          <w:szCs w:val="21"/>
          <w:highlight w:val="none"/>
        </w:rPr>
        <w:t>承包商</w:t>
      </w:r>
      <w:r>
        <w:rPr>
          <w:color w:val="auto"/>
          <w:szCs w:val="21"/>
          <w:highlight w:val="none"/>
        </w:rPr>
        <w:t>项目负责人：</w:t>
      </w:r>
      <w:r>
        <w:rPr>
          <w:rFonts w:hint="eastAsia"/>
          <w:color w:val="auto"/>
          <w:szCs w:val="21"/>
          <w:highlight w:val="none"/>
          <w:u w:val="single"/>
        </w:rPr>
        <w:t xml:space="preserve">                  </w:t>
      </w:r>
      <w:r>
        <w:rPr>
          <w:color w:val="auto"/>
          <w:szCs w:val="21"/>
          <w:highlight w:val="none"/>
        </w:rPr>
        <w:t>。</w:t>
      </w:r>
    </w:p>
    <w:p>
      <w:pPr>
        <w:spacing w:line="440" w:lineRule="exact"/>
        <w:ind w:firstLine="410" w:firstLineChars="171"/>
        <w:rPr>
          <w:color w:val="auto"/>
          <w:szCs w:val="21"/>
          <w:highlight w:val="none"/>
        </w:rPr>
      </w:pPr>
      <w:r>
        <w:rPr>
          <w:rFonts w:hint="eastAsia"/>
          <w:color w:val="auto"/>
          <w:szCs w:val="21"/>
          <w:highlight w:val="none"/>
        </w:rPr>
        <w:t>7</w:t>
      </w:r>
      <w:r>
        <w:rPr>
          <w:color w:val="auto"/>
          <w:szCs w:val="21"/>
          <w:highlight w:val="none"/>
        </w:rPr>
        <w:t>. 工程质量符合</w:t>
      </w:r>
      <w:r>
        <w:rPr>
          <w:rFonts w:hint="eastAsia"/>
          <w:color w:val="auto"/>
          <w:szCs w:val="21"/>
          <w:highlight w:val="none"/>
          <w:u w:val="single"/>
        </w:rPr>
        <w:t xml:space="preserve">                    </w:t>
      </w:r>
      <w:r>
        <w:rPr>
          <w:color w:val="auto"/>
          <w:szCs w:val="21"/>
          <w:highlight w:val="none"/>
        </w:rPr>
        <w:t>标准。</w:t>
      </w:r>
    </w:p>
    <w:p>
      <w:pPr>
        <w:spacing w:line="440" w:lineRule="exact"/>
        <w:ind w:firstLine="410" w:firstLineChars="171"/>
        <w:rPr>
          <w:color w:val="auto"/>
          <w:szCs w:val="21"/>
          <w:highlight w:val="none"/>
        </w:rPr>
      </w:pPr>
      <w:r>
        <w:rPr>
          <w:rFonts w:hint="eastAsia"/>
          <w:color w:val="auto"/>
          <w:szCs w:val="21"/>
          <w:highlight w:val="none"/>
        </w:rPr>
        <w:t>8</w:t>
      </w:r>
      <w:r>
        <w:rPr>
          <w:color w:val="auto"/>
          <w:szCs w:val="21"/>
          <w:highlight w:val="none"/>
        </w:rPr>
        <w:t>. 承包商承诺按合同约定承担工程的</w:t>
      </w:r>
      <w:r>
        <w:rPr>
          <w:rFonts w:hint="eastAsia"/>
          <w:color w:val="auto"/>
          <w:szCs w:val="21"/>
          <w:highlight w:val="none"/>
        </w:rPr>
        <w:t>施工</w:t>
      </w:r>
      <w:r>
        <w:rPr>
          <w:color w:val="auto"/>
          <w:szCs w:val="21"/>
          <w:highlight w:val="none"/>
        </w:rPr>
        <w:t>、</w:t>
      </w:r>
      <w:r>
        <w:rPr>
          <w:rFonts w:hint="eastAsia"/>
          <w:color w:val="auto"/>
          <w:szCs w:val="21"/>
          <w:highlight w:val="none"/>
        </w:rPr>
        <w:t>竣工交付</w:t>
      </w:r>
      <w:r>
        <w:rPr>
          <w:color w:val="auto"/>
          <w:szCs w:val="21"/>
          <w:highlight w:val="none"/>
        </w:rPr>
        <w:t>及缺陷修复。</w:t>
      </w:r>
    </w:p>
    <w:p>
      <w:pPr>
        <w:spacing w:line="440" w:lineRule="exact"/>
        <w:ind w:firstLine="410" w:firstLineChars="171"/>
        <w:rPr>
          <w:color w:val="auto"/>
          <w:szCs w:val="21"/>
          <w:highlight w:val="none"/>
        </w:rPr>
      </w:pPr>
      <w:r>
        <w:rPr>
          <w:rFonts w:hint="eastAsia"/>
          <w:color w:val="auto"/>
          <w:szCs w:val="21"/>
          <w:highlight w:val="none"/>
        </w:rPr>
        <w:t>9</w:t>
      </w:r>
      <w:r>
        <w:rPr>
          <w:color w:val="auto"/>
          <w:szCs w:val="21"/>
          <w:highlight w:val="none"/>
        </w:rPr>
        <w:t>. 采购人承诺按合同约定的条件、时间和方式向承包商支付合同价款。</w:t>
      </w:r>
    </w:p>
    <w:p>
      <w:pPr>
        <w:spacing w:line="440" w:lineRule="exact"/>
        <w:ind w:firstLine="410" w:firstLineChars="171"/>
        <w:rPr>
          <w:color w:val="auto"/>
          <w:szCs w:val="21"/>
          <w:highlight w:val="none"/>
        </w:rPr>
      </w:pPr>
      <w:r>
        <w:rPr>
          <w:rFonts w:hint="eastAsia"/>
          <w:color w:val="auto"/>
          <w:szCs w:val="21"/>
          <w:highlight w:val="none"/>
        </w:rPr>
        <w:t>10</w:t>
      </w:r>
      <w:r>
        <w:rPr>
          <w:color w:val="auto"/>
          <w:szCs w:val="21"/>
          <w:highlight w:val="none"/>
        </w:rPr>
        <w:t>.本协议书一式</w:t>
      </w:r>
      <w:r>
        <w:rPr>
          <w:color w:val="auto"/>
          <w:szCs w:val="21"/>
          <w:highlight w:val="none"/>
          <w:u w:val="single"/>
        </w:rPr>
        <w:t xml:space="preserve">     </w:t>
      </w:r>
      <w:r>
        <w:rPr>
          <w:color w:val="auto"/>
          <w:szCs w:val="21"/>
          <w:highlight w:val="none"/>
        </w:rPr>
        <w:t>份，合同双方各执</w:t>
      </w:r>
      <w:r>
        <w:rPr>
          <w:rFonts w:hint="eastAsia"/>
          <w:color w:val="auto"/>
          <w:szCs w:val="21"/>
          <w:highlight w:val="none"/>
          <w:u w:val="single"/>
        </w:rPr>
        <w:t xml:space="preserve">    </w:t>
      </w:r>
      <w:r>
        <w:rPr>
          <w:color w:val="auto"/>
          <w:szCs w:val="21"/>
          <w:highlight w:val="none"/>
        </w:rPr>
        <w:t>份。</w:t>
      </w:r>
    </w:p>
    <w:p>
      <w:pPr>
        <w:spacing w:line="440" w:lineRule="exact"/>
        <w:ind w:firstLine="410" w:firstLineChars="171"/>
        <w:rPr>
          <w:color w:val="auto"/>
          <w:szCs w:val="21"/>
          <w:highlight w:val="none"/>
        </w:rPr>
      </w:pPr>
      <w:bookmarkStart w:id="549" w:name="_Toc144974830"/>
      <w:bookmarkStart w:id="550" w:name="_Toc152042550"/>
      <w:r>
        <w:rPr>
          <w:color w:val="auto"/>
          <w:szCs w:val="21"/>
          <w:highlight w:val="none"/>
        </w:rPr>
        <w:t>1</w:t>
      </w:r>
      <w:r>
        <w:rPr>
          <w:rFonts w:hint="eastAsia"/>
          <w:color w:val="auto"/>
          <w:szCs w:val="21"/>
          <w:highlight w:val="none"/>
        </w:rPr>
        <w:t>1</w:t>
      </w:r>
      <w:r>
        <w:rPr>
          <w:color w:val="auto"/>
          <w:szCs w:val="21"/>
          <w:highlight w:val="none"/>
        </w:rPr>
        <w:t>. 合同未尽事宜，双方另行签订补充协议。补充协议是合同的组成部分。</w:t>
      </w:r>
      <w:bookmarkEnd w:id="549"/>
      <w:bookmarkEnd w:id="550"/>
    </w:p>
    <w:p>
      <w:pPr>
        <w:spacing w:line="440" w:lineRule="exact"/>
        <w:ind w:firstLine="410" w:firstLineChars="171"/>
        <w:rPr>
          <w:color w:val="auto"/>
          <w:szCs w:val="21"/>
          <w:highlight w:val="none"/>
        </w:rPr>
      </w:pPr>
    </w:p>
    <w:p>
      <w:pPr>
        <w:spacing w:line="440" w:lineRule="exact"/>
        <w:rPr>
          <w:color w:val="auto"/>
          <w:szCs w:val="21"/>
          <w:highlight w:val="none"/>
        </w:rPr>
      </w:pPr>
      <w:r>
        <w:rPr>
          <w:color w:val="auto"/>
          <w:szCs w:val="21"/>
          <w:highlight w:val="none"/>
        </w:rPr>
        <w:t>采购人：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（盖单位章）</w:t>
      </w:r>
      <w:r>
        <w:rPr>
          <w:rFonts w:hint="eastAsia"/>
          <w:color w:val="auto"/>
          <w:szCs w:val="21"/>
          <w:highlight w:val="none"/>
        </w:rPr>
        <w:t xml:space="preserve">     </w:t>
      </w:r>
      <w:r>
        <w:rPr>
          <w:color w:val="auto"/>
          <w:szCs w:val="21"/>
          <w:highlight w:val="none"/>
        </w:rPr>
        <w:t>承包商：</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（盖单位章）</w:t>
      </w:r>
    </w:p>
    <w:p>
      <w:pPr>
        <w:spacing w:line="440" w:lineRule="exact"/>
        <w:rPr>
          <w:color w:val="auto"/>
          <w:szCs w:val="21"/>
          <w:highlight w:val="none"/>
        </w:rPr>
      </w:pPr>
      <w:r>
        <w:rPr>
          <w:color w:val="auto"/>
          <w:szCs w:val="21"/>
          <w:highlight w:val="none"/>
        </w:rPr>
        <w:t>法定代表人或其委托代理人：</w:t>
      </w:r>
      <w:r>
        <w:rPr>
          <w:color w:val="auto"/>
          <w:szCs w:val="21"/>
          <w:highlight w:val="none"/>
          <w:u w:val="single"/>
        </w:rPr>
        <w:t xml:space="preserve">    </w:t>
      </w:r>
      <w:r>
        <w:rPr>
          <w:color w:val="auto"/>
          <w:szCs w:val="21"/>
          <w:highlight w:val="none"/>
        </w:rPr>
        <w:t>（签字）</w:t>
      </w:r>
      <w:r>
        <w:rPr>
          <w:rFonts w:hint="eastAsia"/>
          <w:color w:val="auto"/>
          <w:szCs w:val="21"/>
          <w:highlight w:val="none"/>
        </w:rPr>
        <w:t xml:space="preserve">    </w:t>
      </w:r>
      <w:r>
        <w:rPr>
          <w:color w:val="auto"/>
          <w:szCs w:val="21"/>
          <w:highlight w:val="none"/>
        </w:rPr>
        <w:t>法定代表人或其委托代理人：</w:t>
      </w:r>
      <w:r>
        <w:rPr>
          <w:color w:val="auto"/>
          <w:szCs w:val="21"/>
          <w:highlight w:val="none"/>
          <w:u w:val="single"/>
        </w:rPr>
        <w:t xml:space="preserve">      </w:t>
      </w:r>
      <w:r>
        <w:rPr>
          <w:color w:val="auto"/>
          <w:szCs w:val="21"/>
          <w:highlight w:val="none"/>
        </w:rPr>
        <w:t>（签字）</w:t>
      </w:r>
    </w:p>
    <w:p>
      <w:pPr>
        <w:spacing w:line="440" w:lineRule="exact"/>
        <w:rPr>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r>
        <w:rPr>
          <w:rFonts w:hint="eastAsia"/>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bookmarkEnd w:id="69"/>
    <w:bookmarkEnd w:id="70"/>
    <w:bookmarkEnd w:id="71"/>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rPr>
          <w:color w:val="auto"/>
          <w:kern w:val="44"/>
          <w:sz w:val="48"/>
          <w:szCs w:val="48"/>
          <w:highlight w:val="none"/>
        </w:rPr>
      </w:pPr>
    </w:p>
    <w:p>
      <w:pPr>
        <w:pStyle w:val="3"/>
        <w:spacing w:before="120" w:after="240" w:line="360" w:lineRule="auto"/>
        <w:rPr>
          <w:color w:val="auto"/>
          <w:highlight w:val="none"/>
        </w:rPr>
      </w:pPr>
      <w:r>
        <w:rPr>
          <w:rFonts w:hint="eastAsia"/>
          <w:color w:val="auto"/>
          <w:kern w:val="44"/>
          <w:sz w:val="48"/>
          <w:szCs w:val="48"/>
          <w:highlight w:val="none"/>
        </w:rPr>
        <w:t>第四章 技术标准和要求</w:t>
      </w:r>
    </w:p>
    <w:p>
      <w:pPr>
        <w:spacing w:line="360" w:lineRule="auto"/>
        <w:jc w:val="left"/>
        <w:rPr>
          <w:rFonts w:ascii="宋体" w:hAnsi="宋体"/>
          <w:b/>
          <w:color w:val="auto"/>
          <w:szCs w:val="24"/>
          <w:highlight w:val="none"/>
        </w:rPr>
      </w:pPr>
      <w:r>
        <w:rPr>
          <w:rFonts w:hint="eastAsia" w:ascii="宋体" w:hAnsi="宋体"/>
          <w:b/>
          <w:color w:val="auto"/>
          <w:szCs w:val="24"/>
          <w:highlight w:val="none"/>
        </w:rPr>
        <w:t>一、设计标准</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GB/T 19939-2005《光伏系统并网技术要求》</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 50352-2005 《民用建筑设计通则》</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GJ67-2006</w:t>
      </w:r>
      <w:r>
        <w:rPr>
          <w:rFonts w:hint="eastAsia" w:ascii="宋体" w:hAnsi="宋体"/>
          <w:color w:val="auto"/>
          <w:szCs w:val="24"/>
          <w:highlight w:val="none"/>
          <w:lang w:val="en-US" w:eastAsia="zh-CN"/>
        </w:rPr>
        <w:t xml:space="preserve">    </w:t>
      </w:r>
      <w:r>
        <w:rPr>
          <w:rFonts w:hint="eastAsia" w:ascii="宋体" w:hAnsi="宋体"/>
          <w:color w:val="auto"/>
          <w:szCs w:val="24"/>
          <w:highlight w:val="none"/>
        </w:rPr>
        <w:t xml:space="preserve">《办公建筑设计规范》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GB 50189-2005《公共建筑节能设计标准》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GB50009-2001《建筑结构荷载规范》（2006年版）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GB50153-2008《工程结构可靠性设计统一标准》(2008年版)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GB50011-2001《建筑抗震设计规范》(2008年版)</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GB50007-2002《建筑地基基础设计规范》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GB50003-2001《砌体结构设计规范》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GB50017-2003《钢结构设计规范》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GB50018-2002《冷弯薄壁型钢结构技术规范》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 50046-2008《工业建筑防腐蚀设计规范》</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GB 50010-2002《混凝土结构设计规范》</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EN50178:1997</w:t>
      </w:r>
      <w:r>
        <w:rPr>
          <w:rFonts w:hint="eastAsia" w:ascii="宋体" w:hAnsi="宋体"/>
          <w:color w:val="auto"/>
          <w:szCs w:val="24"/>
          <w:highlight w:val="none"/>
        </w:rPr>
        <w:t xml:space="preserve"> 《通用电子电器安全标准》</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《建筑物防雷设计规范》国家标准GB50057-2010</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w:t>
      </w:r>
      <w:r>
        <w:rPr>
          <w:rFonts w:hint="eastAsia" w:ascii="宋体" w:hAnsi="宋体"/>
          <w:color w:val="auto"/>
          <w:szCs w:val="24"/>
          <w:highlight w:val="none"/>
        </w:rPr>
        <w:t>建筑电气工程施工质量验收规范</w:t>
      </w:r>
      <w:r>
        <w:rPr>
          <w:rFonts w:ascii="宋体" w:hAnsi="宋体"/>
          <w:color w:val="auto"/>
          <w:szCs w:val="24"/>
          <w:highlight w:val="none"/>
        </w:rPr>
        <w:t>》</w:t>
      </w:r>
      <w:r>
        <w:rPr>
          <w:rFonts w:hint="eastAsia" w:ascii="宋体" w:hAnsi="宋体"/>
          <w:color w:val="auto"/>
          <w:szCs w:val="24"/>
          <w:highlight w:val="none"/>
        </w:rPr>
        <w:t>GB50303-2002</w:t>
      </w:r>
    </w:p>
    <w:p>
      <w:pPr>
        <w:tabs>
          <w:tab w:val="left" w:pos="7920"/>
        </w:tabs>
        <w:adjustRightInd w:val="0"/>
        <w:snapToGrid w:val="0"/>
        <w:spacing w:line="360" w:lineRule="auto"/>
        <w:rPr>
          <w:rFonts w:ascii="宋体" w:hAnsi="宋体"/>
          <w:b/>
          <w:color w:val="auto"/>
          <w:highlight w:val="none"/>
        </w:rPr>
      </w:pPr>
      <w:r>
        <w:rPr>
          <w:rFonts w:hint="eastAsia" w:ascii="宋体" w:hAnsi="宋体"/>
          <w:b/>
          <w:color w:val="auto"/>
          <w:highlight w:val="none"/>
        </w:rPr>
        <w:t>二、技术要求</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2.1</w:t>
      </w:r>
      <w:r>
        <w:rPr>
          <w:rFonts w:hint="eastAsia" w:ascii="宋体" w:hAnsi="宋体"/>
          <w:color w:val="auto"/>
          <w:szCs w:val="24"/>
          <w:highlight w:val="none"/>
          <w:lang w:val="en-US" w:eastAsia="zh-CN"/>
        </w:rPr>
        <w:t>光伏</w:t>
      </w:r>
      <w:r>
        <w:rPr>
          <w:rFonts w:hint="eastAsia" w:ascii="宋体" w:hAnsi="宋体"/>
          <w:color w:val="auto"/>
          <w:szCs w:val="24"/>
          <w:highlight w:val="none"/>
        </w:rPr>
        <w:t>组件、逆变器、并网柜由采购人提供。</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2.2重新安装的光伏发电系统结构应布局合理、美观，具有安全可靠性、美观性、高效性。</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2.3进行重新安装的光伏发电系统的安全复核，满足原系统负荷结构和电气系统的安全性要求，工程场所和光伏发电系统参数、指标符合电网、消防、环保、建筑、防雷、防震主管部门相关规定。</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2.4 重新安装工程所有设备和部件，符合国家和行业相关法规和产品标准，发包人有权拒绝质量不合格或者技术协议没经采购人书面认可的设备，由此产生的一切后果由承包商负责；电气设备应选择具有安全许可证、产品合格证及入网许可证的电气产品。</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2.5 响应人应组织相应资质的电力设计单位完成工程设计。设计应使光伏发电系统有能力在安全、稳定、经济状态下运行，并使其性能达到最佳状态和满足国家、江西省电网企业对于太阳能并网电站的规定。</w:t>
      </w:r>
    </w:p>
    <w:p>
      <w:pPr>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2.7 结合地面、车棚等地形，合理设置光伏组件的倾角和方位角，避免被阴影遮挡。工程涉及到的节能、防火、防雷、防静电、防光反射等符合国家和行业相关规定。</w:t>
      </w:r>
    </w:p>
    <w:p>
      <w:pPr>
        <w:spacing w:line="360" w:lineRule="auto"/>
        <w:ind w:firstLine="480" w:firstLineChars="200"/>
        <w:rPr>
          <w:rFonts w:hint="default" w:eastAsia="宋体"/>
          <w:color w:val="auto"/>
          <w:highlight w:val="none"/>
          <w:lang w:val="en-US" w:eastAsia="zh-CN"/>
        </w:rPr>
      </w:pPr>
      <w:r>
        <w:rPr>
          <w:rFonts w:hint="eastAsia" w:ascii="宋体" w:hAnsi="宋体"/>
          <w:color w:val="auto"/>
          <w:szCs w:val="24"/>
          <w:highlight w:val="none"/>
          <w:lang w:val="en-US" w:eastAsia="zh-CN"/>
        </w:rPr>
        <w:t>2.8</w:t>
      </w:r>
      <w:r>
        <w:rPr>
          <w:rFonts w:hint="eastAsia" w:ascii="宋体" w:hAnsi="宋体"/>
          <w:color w:val="auto"/>
          <w:kern w:val="2"/>
          <w:szCs w:val="24"/>
          <w:highlight w:val="none"/>
        </w:rPr>
        <w:t>鄱阳收费站新</w:t>
      </w:r>
      <w:r>
        <w:rPr>
          <w:rFonts w:hint="eastAsia" w:ascii="宋体" w:hAnsi="宋体"/>
          <w:color w:val="auto"/>
          <w:kern w:val="2"/>
          <w:szCs w:val="24"/>
          <w:highlight w:val="none"/>
          <w:lang w:val="en-US" w:eastAsia="zh-CN"/>
        </w:rPr>
        <w:t>建</w:t>
      </w:r>
      <w:r>
        <w:rPr>
          <w:rFonts w:hint="eastAsia" w:ascii="宋体" w:hAnsi="宋体"/>
          <w:color w:val="auto"/>
          <w:kern w:val="2"/>
          <w:szCs w:val="24"/>
          <w:highlight w:val="none"/>
        </w:rPr>
        <w:t>光伏停车棚</w:t>
      </w:r>
      <w:r>
        <w:rPr>
          <w:rFonts w:hint="eastAsia" w:ascii="宋体" w:hAnsi="宋体"/>
          <w:color w:val="auto"/>
          <w:kern w:val="2"/>
          <w:szCs w:val="24"/>
          <w:highlight w:val="none"/>
          <w:lang w:val="en-US" w:eastAsia="zh-CN"/>
        </w:rPr>
        <w:t>所有线缆需穿管，不得有线缆外漏。凰岗收费站地面光伏所有线缆需穿管（除组件自带线缆）。线缆扎带需用不锈钢材质。</w:t>
      </w:r>
    </w:p>
    <w:p>
      <w:pPr>
        <w:tabs>
          <w:tab w:val="left" w:pos="7920"/>
        </w:tabs>
        <w:adjustRightInd w:val="0"/>
        <w:snapToGrid w:val="0"/>
        <w:spacing w:line="360" w:lineRule="auto"/>
        <w:rPr>
          <w:rFonts w:ascii="宋体" w:hAnsi="宋体"/>
          <w:color w:val="auto"/>
          <w:szCs w:val="24"/>
          <w:highlight w:val="none"/>
        </w:rPr>
      </w:pPr>
      <w:r>
        <w:rPr>
          <w:rFonts w:hint="eastAsia" w:ascii="宋体" w:hAnsi="宋体"/>
          <w:b/>
          <w:color w:val="auto"/>
          <w:highlight w:val="none"/>
        </w:rPr>
        <w:t>三、主要设备、材料的品牌界定</w:t>
      </w:r>
      <w:r>
        <w:rPr>
          <w:rFonts w:hint="eastAsia" w:ascii="宋体" w:hAnsi="宋体"/>
          <w:color w:val="auto"/>
          <w:szCs w:val="24"/>
          <w:highlight w:val="none"/>
        </w:rPr>
        <w:t xml:space="preserve">  </w:t>
      </w:r>
      <w:bookmarkStart w:id="551" w:name="_Toc17738"/>
    </w:p>
    <w:p>
      <w:pPr>
        <w:spacing w:line="360" w:lineRule="auto"/>
        <w:rPr>
          <w:rFonts w:ascii="宋体" w:hAnsi="宋体"/>
          <w:color w:val="auto"/>
          <w:szCs w:val="24"/>
          <w:highlight w:val="none"/>
        </w:rPr>
      </w:pPr>
      <w:r>
        <w:rPr>
          <w:rFonts w:hint="eastAsia" w:ascii="宋体" w:hAnsi="宋体"/>
          <w:color w:val="auto"/>
          <w:szCs w:val="24"/>
          <w:highlight w:val="none"/>
        </w:rPr>
        <w:t>3.1</w:t>
      </w:r>
      <w:bookmarkEnd w:id="551"/>
      <w:r>
        <w:rPr>
          <w:rFonts w:hint="eastAsia" w:ascii="宋体" w:hAnsi="宋体"/>
          <w:color w:val="auto"/>
          <w:szCs w:val="24"/>
          <w:highlight w:val="none"/>
        </w:rPr>
        <w:t>光伏发电规范：</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工程所提供的设备均应按IEC、ISO和GB标准，并参考下列标准和规程进行设计、制造、检验和安装，并符合《中华人民共和国工程建设标准强制性条文》的规定。参考的规范、规程如下</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（1）《土方与爆破工程施工及验收规范》（GBJ201—1983）；</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（2）《建筑地基基础工程施工质量验收规范》（GB50202-2002）；</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（3）《建筑工程施工质量验收统一标准》（GB50300-2001）；</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（4）《建筑地面工程施工质量验收规范》（GB50209-2002）；</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（5）《钢结构设计规范》（GB 50017-2003）；</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（6）《钢结构工程施工质量验收规范》（GB50205-2001）；</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（7）《冷弯薄壁型钢结构技术规范》（GB50018-2002）；</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（8）《钢结构工程施工质量验收规范》（GB 50205-2001）；</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（9）《建筑抗震设计规范》（GB 50011-2010）；</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（10）</w:t>
      </w:r>
      <w:r>
        <w:rPr>
          <w:rFonts w:ascii="宋体" w:hAnsi="宋体"/>
          <w:color w:val="auto"/>
          <w:szCs w:val="24"/>
          <w:highlight w:val="none"/>
        </w:rPr>
        <w:t>《建筑结构荷载规范》（GB 50009-2012）；</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（11）《金属覆盖层钢铁制件热浸镀锌层技术要求及实验方法》（GB/T13912-2002）；</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（12</w:t>
      </w:r>
      <w:r>
        <w:rPr>
          <w:rFonts w:hint="eastAsia" w:ascii="宋体" w:hAnsi="宋体"/>
          <w:color w:val="auto"/>
          <w:szCs w:val="24"/>
          <w:highlight w:val="none"/>
        </w:rPr>
        <w:t>）《建筑钢结构焊接技术规程》</w:t>
      </w:r>
      <w:r>
        <w:rPr>
          <w:rFonts w:ascii="宋体" w:hAnsi="宋体"/>
          <w:color w:val="auto"/>
          <w:szCs w:val="24"/>
          <w:highlight w:val="none"/>
        </w:rPr>
        <w:t>（JGJ81-2002）；</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（13）《涂装前钢材表面锈蚀等级和除锈等级》（GB8923-88）；</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（14）《建筑防腐蚀工程施工及验收规范》（GB50212-2002）；</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（15）《通用冷弯开口型钢尺寸、外形、重量及允许偏差》（GB/T 6723-2008）；</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（16）《结构用冷弯空心型钢尺寸、外形、重量及允许偏差》（GB/T 6728-2002）；</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（17）《冷弯型钢技术条件》（GB/T6725-1992）；</w:t>
      </w:r>
      <w:r>
        <w:rPr>
          <w:rFonts w:hint="eastAsia" w:ascii="宋体" w:hAnsi="宋体"/>
          <w:color w:val="auto"/>
          <w:szCs w:val="24"/>
          <w:highlight w:val="none"/>
        </w:rPr>
        <w:t> </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（18）《钢结构制作工艺规程》（DG/TJ 08-216-2007）；</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（19）《多功能钢铁表面处理液通用技术条件》（GB/T 12612 2005）；</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（20）《建筑地基基础设计规范》（GB 50007－2011）。</w:t>
      </w:r>
    </w:p>
    <w:p>
      <w:pPr>
        <w:spacing w:line="360" w:lineRule="auto"/>
        <w:ind w:firstLine="480" w:firstLineChars="200"/>
        <w:rPr>
          <w:rFonts w:ascii="宋体" w:hAnsi="宋体"/>
          <w:color w:val="auto"/>
          <w:szCs w:val="24"/>
          <w:highlight w:val="none"/>
        </w:rPr>
      </w:pPr>
      <w:r>
        <w:rPr>
          <w:rFonts w:ascii="宋体" w:hAnsi="宋体"/>
          <w:color w:val="auto"/>
          <w:szCs w:val="24"/>
          <w:highlight w:val="none"/>
        </w:rPr>
        <w:t>以上标准若有新的标准则执行新标准</w:t>
      </w:r>
      <w:r>
        <w:rPr>
          <w:rFonts w:hint="eastAsia" w:ascii="宋体" w:hAnsi="宋体"/>
          <w:color w:val="auto"/>
          <w:szCs w:val="24"/>
          <w:highlight w:val="none"/>
        </w:rPr>
        <w:t>，</w:t>
      </w:r>
      <w:r>
        <w:rPr>
          <w:rFonts w:ascii="宋体" w:hAnsi="宋体"/>
          <w:color w:val="auto"/>
          <w:szCs w:val="24"/>
          <w:highlight w:val="none"/>
        </w:rPr>
        <w:t>替代原有标准</w:t>
      </w:r>
      <w:r>
        <w:rPr>
          <w:rFonts w:hint="eastAsia" w:ascii="宋体" w:hAnsi="宋体"/>
          <w:color w:val="auto"/>
          <w:szCs w:val="24"/>
          <w:highlight w:val="none"/>
        </w:rPr>
        <w:t>。</w:t>
      </w:r>
    </w:p>
    <w:p>
      <w:pPr>
        <w:rPr>
          <w:rFonts w:ascii="宋体" w:hAnsi="宋体"/>
          <w:color w:val="auto"/>
          <w:szCs w:val="24"/>
          <w:highlight w:val="none"/>
        </w:rPr>
      </w:pPr>
      <w:r>
        <w:rPr>
          <w:rFonts w:hint="eastAsia" w:ascii="宋体" w:hAnsi="宋体"/>
          <w:color w:val="auto"/>
          <w:szCs w:val="24"/>
          <w:highlight w:val="none"/>
        </w:rPr>
        <w:t>3.2基本要求如下：</w:t>
      </w:r>
    </w:p>
    <w:p>
      <w:pPr>
        <w:pStyle w:val="5"/>
        <w:numPr>
          <w:ilvl w:val="2"/>
          <w:numId w:val="0"/>
        </w:numPr>
        <w:spacing w:line="24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3.2.1支架技术要求</w:t>
      </w:r>
    </w:p>
    <w:p>
      <w:pPr>
        <w:tabs>
          <w:tab w:val="left" w:pos="753"/>
        </w:tabs>
        <w:spacing w:line="360" w:lineRule="auto"/>
        <w:rPr>
          <w:rFonts w:ascii="宋体" w:hAnsi="宋体" w:cs="宋体"/>
          <w:color w:val="auto"/>
          <w:szCs w:val="21"/>
          <w:highlight w:val="none"/>
        </w:rPr>
      </w:pPr>
      <w:r>
        <w:rPr>
          <w:rFonts w:hint="eastAsia" w:ascii="宋体" w:hAnsi="宋体" w:cs="宋体"/>
          <w:color w:val="auto"/>
          <w:szCs w:val="21"/>
          <w:highlight w:val="none"/>
        </w:rPr>
        <w:t>（1）支架结构标准</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50009-2004          建筑结构载荷规范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GB/T5237-2000          铝合金建筑型材</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50429-2007          铝合金结构设计规范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GB/T699-1999           优质碳素结构钢</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GB50205-2001           钢结构质量工程验收规范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GB50017-2003</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钢结构设计规范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GB/T700-2006</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碳素结构钢</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GB/T13912-2002</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钢铁制件热浸镀锌层技术要求及试验方法</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2694 -2003</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热浸镀锌体镀锌质量</w:t>
      </w:r>
    </w:p>
    <w:p>
      <w:pPr>
        <w:tabs>
          <w:tab w:val="left" w:pos="3060"/>
        </w:tabs>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GB50191                 构筑物抗震设计规范</w:t>
      </w:r>
    </w:p>
    <w:p>
      <w:pPr>
        <w:tabs>
          <w:tab w:val="left" w:pos="3240"/>
        </w:tabs>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10J908-5                建筑太阳能光伏系统设计与安装</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JGJ 203-2010            民用建筑太阳能光伏系统应用技术规范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GB 50352-2005          </w:t>
      </w:r>
      <w:r>
        <w:rPr>
          <w:rFonts w:hint="eastAsia" w:ascii="宋体" w:hAnsi="宋体" w:cs="宋体"/>
          <w:color w:val="auto"/>
          <w:szCs w:val="21"/>
          <w:highlight w:val="none"/>
        </w:rPr>
        <w:tab/>
      </w:r>
      <w:r>
        <w:rPr>
          <w:rFonts w:hint="eastAsia" w:ascii="宋体" w:hAnsi="宋体" w:cs="宋体"/>
          <w:color w:val="auto"/>
          <w:szCs w:val="21"/>
          <w:highlight w:val="none"/>
        </w:rPr>
        <w:t>民用建筑设计通则</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GB 50345-2004          </w:t>
      </w:r>
      <w:r>
        <w:rPr>
          <w:rFonts w:hint="eastAsia" w:ascii="宋体" w:hAnsi="宋体" w:cs="宋体"/>
          <w:color w:val="auto"/>
          <w:szCs w:val="21"/>
          <w:highlight w:val="none"/>
        </w:rPr>
        <w:tab/>
      </w:r>
      <w:r>
        <w:rPr>
          <w:rFonts w:hint="eastAsia" w:ascii="宋体" w:hAnsi="宋体" w:cs="宋体"/>
          <w:color w:val="auto"/>
          <w:szCs w:val="21"/>
          <w:highlight w:val="none"/>
        </w:rPr>
        <w:t>屋面工程技术规范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JGJ 145-2004            混凝土结构后锚固技术规程</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GB50204-2002          </w:t>
      </w:r>
      <w:r>
        <w:rPr>
          <w:rFonts w:hint="eastAsia" w:ascii="宋体" w:hAnsi="宋体" w:cs="宋体"/>
          <w:color w:val="auto"/>
          <w:szCs w:val="21"/>
          <w:highlight w:val="none"/>
        </w:rPr>
        <w:tab/>
      </w:r>
      <w:r>
        <w:rPr>
          <w:rFonts w:hint="eastAsia" w:ascii="宋体" w:hAnsi="宋体" w:cs="宋体"/>
          <w:color w:val="auto"/>
          <w:szCs w:val="21"/>
          <w:highlight w:val="none"/>
        </w:rPr>
        <w:t>混凝土结构工程施工质量验收规范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GB50202-2002          </w:t>
      </w:r>
      <w:r>
        <w:rPr>
          <w:rFonts w:hint="eastAsia" w:ascii="宋体" w:hAnsi="宋体" w:cs="宋体"/>
          <w:color w:val="auto"/>
          <w:szCs w:val="21"/>
          <w:highlight w:val="none"/>
        </w:rPr>
        <w:tab/>
      </w:r>
      <w:r>
        <w:rPr>
          <w:rFonts w:hint="eastAsia" w:ascii="宋体" w:hAnsi="宋体" w:cs="宋体"/>
          <w:color w:val="auto"/>
          <w:szCs w:val="21"/>
          <w:highlight w:val="none"/>
        </w:rPr>
        <w:t>建筑地基基础工程施工质量验收规范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GB50203-2002         砌体工程施工及验收规范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GB50007-2002         建筑地基基础设计规范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GB50018-2002         冷弯薄壁型钢结构技术规范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12307.1- 2005     金属镀层厚度标准</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GB/T15975-2005       大气环境腐蚀性分类</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GB/T 19291-2003</w:t>
      </w:r>
      <w:r>
        <w:rPr>
          <w:rFonts w:hint="eastAsia" w:ascii="宋体" w:hAnsi="宋体" w:cs="宋体"/>
          <w:color w:val="auto"/>
          <w:szCs w:val="21"/>
          <w:highlight w:val="none"/>
        </w:rPr>
        <w:tab/>
      </w:r>
      <w:r>
        <w:rPr>
          <w:rFonts w:hint="eastAsia" w:ascii="宋体" w:hAnsi="宋体" w:cs="宋体"/>
          <w:color w:val="auto"/>
          <w:szCs w:val="21"/>
          <w:highlight w:val="none"/>
        </w:rPr>
        <w:t xml:space="preserve">    金属和合金的腐蚀腐蚀试验一般原则</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GB 50191-2010       </w:t>
      </w:r>
      <w:r>
        <w:rPr>
          <w:rFonts w:hint="eastAsia" w:ascii="宋体" w:hAnsi="宋体" w:cs="宋体"/>
          <w:color w:val="auto"/>
          <w:szCs w:val="21"/>
          <w:highlight w:val="none"/>
        </w:rPr>
        <w:tab/>
      </w:r>
      <w:r>
        <w:rPr>
          <w:rFonts w:hint="eastAsia" w:ascii="宋体" w:hAnsi="宋体" w:cs="宋体"/>
          <w:color w:val="auto"/>
          <w:szCs w:val="21"/>
          <w:highlight w:val="none"/>
        </w:rPr>
        <w:t>构筑物抗震设计规范</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50223-2008        建筑工程抗震设防分类标准</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JGJ 82-2008          钢结构高强度螺栓连接的设计、施工及验收规程</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1128-2010         钢结构用高强度大六角螺栓、螺母、垫圈与技术条件</w:t>
      </w:r>
    </w:p>
    <w:p>
      <w:p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GB 3632-2008         钢结构用扭剪型高强度螺栓连接与技术条件</w:t>
      </w:r>
    </w:p>
    <w:p>
      <w:pPr>
        <w:spacing w:line="360" w:lineRule="auto"/>
        <w:ind w:firstLine="480" w:firstLineChars="200"/>
        <w:rPr>
          <w:rFonts w:ascii="宋体" w:hAnsi="宋体" w:cs="宋体"/>
          <w:color w:val="auto"/>
          <w:szCs w:val="21"/>
          <w:highlight w:val="none"/>
        </w:rPr>
      </w:pPr>
      <w:r>
        <w:rPr>
          <w:rFonts w:hint="eastAsia"/>
          <w:color w:val="auto"/>
          <w:highlight w:val="none"/>
        </w:rPr>
        <w:t>（2）支</w:t>
      </w:r>
      <w:r>
        <w:rPr>
          <w:color w:val="auto"/>
          <w:highlight w:val="none"/>
        </w:rPr>
        <w:t>架</w:t>
      </w:r>
      <w:r>
        <w:rPr>
          <w:rFonts w:hint="eastAsia"/>
          <w:color w:val="auto"/>
          <w:highlight w:val="none"/>
        </w:rPr>
        <w:t>技术要求</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光伏支架的选择应合理选用材料、结构方案和构造措施，保证结构在运输、安装和使用过程中满足强度、稳定性和刚度要求，满足抗震、抗风和防腐蚀等要求。综合考虑光伏组件的受力特点及施工、运行维护等因素。支架构件除满足强度、稳定性和刚度要求外，受压和受拉构件须满足长细比要求支架需具有防腐，防锈功能，满足电站设计使用寿命。</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光伏</w:t>
      </w:r>
      <w:r>
        <w:rPr>
          <w:rFonts w:hint="eastAsia" w:ascii="宋体" w:hAnsi="宋体" w:cs="宋体"/>
          <w:color w:val="auto"/>
          <w:szCs w:val="21"/>
          <w:highlight w:val="none"/>
        </w:rPr>
        <w:t xml:space="preserve">支架材质最小壁厚除满足国标和设计要求外。 除满足国标和设计要求外，热浸镀锌产品厚度不小于65μm。 </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支架制作和安装所用的材料，必须具有合格的《质量证明书》、中文标志、检验报告等，其品种、规格、性能指标应符合国家产品标准和订货合同条款，满足设计文件的要求和设计使用年限（25年）。</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支架制作和安装所用的材料，应按国家标准，对品种、规格、性能进行验收，验收合格者，方能在支架制作和安装中使用。  </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支架制作和安装所用的材料，国家标准规定要求进行复验的．必须按照现行国家标准和订货合同条款的规定，进行各项性能指标的复验，合格后，方能在支架制作和安装中使用。  </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接地：在阵列上和阵列周围有可靠的接地网，保证安全、防止雷击。</w:t>
      </w:r>
    </w:p>
    <w:p>
      <w:pPr>
        <w:numPr>
          <w:ilvl w:val="0"/>
          <w:numId w:val="2"/>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 xml:space="preserve">钢材 （符合设计要求国标产品）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 xml:space="preserve">1）钢材表面不得有裂纹、结疤、折叠、麻纹、气泡和夹杂；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lang w:val="en-US" w:eastAsia="zh-CN"/>
        </w:rPr>
        <w:t>2</w:t>
      </w:r>
      <w:r>
        <w:rPr>
          <w:rFonts w:hint="eastAsia" w:ascii="宋体" w:hAnsi="宋体"/>
          <w:color w:val="auto"/>
          <w:szCs w:val="24"/>
          <w:highlight w:val="none"/>
        </w:rPr>
        <w:t xml:space="preserve">）钢材表面的锈蚀、麻点、划伤、压痕等，深度不得大于该钢材厚度负允许偏差值的二分之一；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3）钢材端边或断口处不得柏分层、夹渣等缺陷</w:t>
      </w:r>
      <w:r>
        <w:rPr>
          <w:rFonts w:hint="eastAsia" w:ascii="宋体" w:hAnsi="宋体"/>
          <w:color w:val="auto"/>
          <w:szCs w:val="24"/>
          <w:highlight w:val="none"/>
          <w:lang w:eastAsia="zh-CN"/>
        </w:rPr>
        <w:t>；</w:t>
      </w:r>
      <w:r>
        <w:rPr>
          <w:rFonts w:hint="eastAsia" w:ascii="宋体" w:hAnsi="宋体"/>
          <w:color w:val="auto"/>
          <w:szCs w:val="24"/>
          <w:highlight w:val="none"/>
        </w:rPr>
        <w:t xml:space="preserve">  </w:t>
      </w:r>
    </w:p>
    <w:p>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4）钢材表面的锈蚀等级应符台现行国家标准《涂装前钢材表面锈蚀等级和除锈等级》GB 8923规定的C级及C级以上等级，使用C级时应彻底除锈。</w:t>
      </w:r>
    </w:p>
    <w:p>
      <w:pPr>
        <w:pStyle w:val="2"/>
        <w:numPr>
          <w:ilvl w:val="0"/>
          <w:numId w:val="2"/>
        </w:numPr>
        <w:rPr>
          <w:rFonts w:ascii="宋体" w:hAnsi="宋体" w:cs="宋体"/>
          <w:color w:val="auto"/>
          <w:kern w:val="2"/>
          <w:szCs w:val="21"/>
          <w:highlight w:val="none"/>
        </w:rPr>
      </w:pPr>
      <w:r>
        <w:rPr>
          <w:rFonts w:hint="eastAsia" w:ascii="宋体" w:hAnsi="宋体" w:cs="宋体"/>
          <w:color w:val="auto"/>
          <w:kern w:val="2"/>
          <w:szCs w:val="21"/>
          <w:highlight w:val="none"/>
        </w:rPr>
        <w:t>辅材：连接件为Q235B热镀锌；组件压块为铝合金材质；螺栓为304不锈钢材质（带配套2平垫、1弹垫、1螺母）</w:t>
      </w:r>
      <w:r>
        <w:rPr>
          <w:rFonts w:hint="eastAsia" w:ascii="宋体" w:hAnsi="宋体" w:cs="宋体"/>
          <w:color w:val="auto"/>
          <w:kern w:val="2"/>
          <w:szCs w:val="21"/>
          <w:highlight w:val="none"/>
          <w:lang w:eastAsia="zh-CN"/>
        </w:rPr>
        <w:t>。</w:t>
      </w:r>
    </w:p>
    <w:p>
      <w:pPr>
        <w:pStyle w:val="5"/>
        <w:numPr>
          <w:ilvl w:val="2"/>
          <w:numId w:val="0"/>
        </w:numPr>
        <w:spacing w:line="360" w:lineRule="auto"/>
        <w:rPr>
          <w:rFonts w:ascii="宋体" w:hAnsi="宋体"/>
          <w:b w:val="0"/>
          <w:bCs w:val="0"/>
          <w:color w:val="auto"/>
          <w:sz w:val="24"/>
          <w:szCs w:val="24"/>
          <w:highlight w:val="none"/>
        </w:rPr>
      </w:pPr>
      <w:bookmarkStart w:id="552" w:name="_Toc20149750"/>
      <w:bookmarkStart w:id="553" w:name="_Toc523494760"/>
      <w:r>
        <w:rPr>
          <w:rFonts w:hint="eastAsia" w:ascii="宋体" w:hAnsi="宋体"/>
          <w:b w:val="0"/>
          <w:bCs w:val="0"/>
          <w:color w:val="auto"/>
          <w:sz w:val="24"/>
          <w:szCs w:val="24"/>
          <w:highlight w:val="none"/>
        </w:rPr>
        <w:t>3.2.2光伏线缆</w:t>
      </w:r>
      <w:bookmarkEnd w:id="552"/>
      <w:bookmarkEnd w:id="553"/>
    </w:p>
    <w:p>
      <w:pPr>
        <w:numPr>
          <w:ilvl w:val="0"/>
          <w:numId w:val="3"/>
        </w:numPr>
        <w:spacing w:line="360" w:lineRule="auto"/>
        <w:rPr>
          <w:rFonts w:ascii="宋体" w:hAnsi="宋体" w:cs="宋体"/>
          <w:color w:val="auto"/>
          <w:szCs w:val="21"/>
          <w:highlight w:val="none"/>
        </w:rPr>
      </w:pPr>
      <w:r>
        <w:rPr>
          <w:rFonts w:hint="eastAsia" w:ascii="宋体" w:hAnsi="宋体" w:cs="宋体"/>
          <w:color w:val="auto"/>
          <w:szCs w:val="21"/>
          <w:highlight w:val="none"/>
        </w:rPr>
        <w:t>按照国家、地方及行业最新相关标准和规范执行。优先采用中华人民共和国国家标准及电力行业标准。在国内标准缺项时，参考选用相应的国际标准或其他国家标准，选用的标准是在合同签订之前已颁布的最新版本。</w:t>
      </w:r>
    </w:p>
    <w:p>
      <w:pPr>
        <w:numPr>
          <w:ilvl w:val="0"/>
          <w:numId w:val="3"/>
        </w:numPr>
        <w:spacing w:line="360" w:lineRule="auto"/>
        <w:rPr>
          <w:rFonts w:ascii="宋体" w:hAnsi="宋体" w:cs="宋体"/>
          <w:color w:val="auto"/>
          <w:szCs w:val="21"/>
          <w:highlight w:val="none"/>
        </w:rPr>
      </w:pPr>
      <w:r>
        <w:rPr>
          <w:rFonts w:hint="eastAsia" w:ascii="宋体" w:hAnsi="宋体" w:cs="宋体"/>
          <w:color w:val="auto"/>
          <w:szCs w:val="21"/>
          <w:highlight w:val="none"/>
        </w:rPr>
        <w:t>光伏电站要求采用光伏专用电缆，电缆的安装用管道铺设。其额定值应满足系统电压，载流能力，潮湿位置、温度和耐日照的要求。</w:t>
      </w:r>
    </w:p>
    <w:p>
      <w:pPr>
        <w:numPr>
          <w:ilvl w:val="0"/>
          <w:numId w:val="3"/>
        </w:numPr>
        <w:spacing w:line="360" w:lineRule="auto"/>
        <w:rPr>
          <w:rFonts w:ascii="宋体" w:hAnsi="宋体" w:cs="宋体"/>
          <w:color w:val="auto"/>
          <w:szCs w:val="21"/>
          <w:highlight w:val="none"/>
        </w:rPr>
      </w:pPr>
      <w:r>
        <w:rPr>
          <w:rFonts w:hint="eastAsia" w:ascii="宋体" w:hAnsi="宋体" w:cs="宋体"/>
          <w:color w:val="auto"/>
          <w:szCs w:val="21"/>
          <w:highlight w:val="none"/>
        </w:rPr>
        <w:t>电缆的性能、参数及配置</w:t>
      </w:r>
    </w:p>
    <w:p>
      <w:pPr>
        <w:numPr>
          <w:ilvl w:val="0"/>
          <w:numId w:val="4"/>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型    号：GF-WDZCEER-125</w:t>
      </w:r>
    </w:p>
    <w:p>
      <w:pPr>
        <w:numPr>
          <w:ilvl w:val="0"/>
          <w:numId w:val="4"/>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规    格：1×4mm</w:t>
      </w:r>
      <w:r>
        <w:rPr>
          <w:rFonts w:hint="eastAsia" w:ascii="宋体" w:hAnsi="宋体" w:cs="宋体"/>
          <w:color w:val="auto"/>
          <w:szCs w:val="21"/>
          <w:highlight w:val="none"/>
          <w:vertAlign w:val="superscript"/>
        </w:rPr>
        <w:t>2</w:t>
      </w:r>
    </w:p>
    <w:p>
      <w:pPr>
        <w:numPr>
          <w:ilvl w:val="0"/>
          <w:numId w:val="4"/>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额定电压：DC1800V</w:t>
      </w:r>
    </w:p>
    <w:p>
      <w:pPr>
        <w:numPr>
          <w:ilvl w:val="0"/>
          <w:numId w:val="4"/>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环境温度范围：-40℃～90℃</w:t>
      </w:r>
    </w:p>
    <w:p>
      <w:pPr>
        <w:numPr>
          <w:ilvl w:val="0"/>
          <w:numId w:val="4"/>
        </w:numPr>
        <w:spacing w:line="360" w:lineRule="auto"/>
        <w:ind w:firstLine="480" w:firstLineChars="200"/>
        <w:rPr>
          <w:rFonts w:ascii="宋体" w:hAnsi="宋体" w:cs="宋体"/>
          <w:color w:val="auto"/>
          <w:szCs w:val="21"/>
          <w:highlight w:val="none"/>
        </w:rPr>
      </w:pPr>
      <w:r>
        <w:rPr>
          <w:rFonts w:hint="eastAsia" w:ascii="宋体" w:hAnsi="宋体" w:cs="宋体"/>
          <w:color w:val="auto"/>
          <w:szCs w:val="21"/>
          <w:highlight w:val="none"/>
        </w:rPr>
        <w:t>参照产品标准：CEEIA B218.2-2012</w:t>
      </w:r>
    </w:p>
    <w:p>
      <w:pPr>
        <w:numPr>
          <w:ilvl w:val="0"/>
          <w:numId w:val="3"/>
        </w:numPr>
        <w:spacing w:line="360" w:lineRule="auto"/>
        <w:rPr>
          <w:rFonts w:ascii="宋体" w:hAnsi="宋体" w:cs="宋体"/>
          <w:color w:val="auto"/>
          <w:szCs w:val="21"/>
          <w:highlight w:val="none"/>
        </w:rPr>
      </w:pPr>
      <w:r>
        <w:rPr>
          <w:rFonts w:hint="eastAsia" w:ascii="宋体" w:hAnsi="宋体" w:cs="宋体"/>
          <w:color w:val="auto"/>
          <w:szCs w:val="21"/>
          <w:highlight w:val="none"/>
        </w:rPr>
        <w:t>主要技术性能如下表：</w:t>
      </w:r>
    </w:p>
    <w:tbl>
      <w:tblPr>
        <w:tblStyle w:val="66"/>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1248"/>
        <w:gridCol w:w="2788"/>
        <w:gridCol w:w="4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jc w:val="center"/>
              <w:rPr>
                <w:rFonts w:ascii="宋体" w:hAnsi="宋体" w:cs="宋体"/>
                <w:color w:val="auto"/>
                <w:sz w:val="21"/>
                <w:szCs w:val="18"/>
                <w:highlight w:val="none"/>
              </w:rPr>
            </w:pPr>
            <w:r>
              <w:rPr>
                <w:rFonts w:hint="eastAsia" w:ascii="宋体" w:hAnsi="宋体" w:cs="宋体"/>
                <w:color w:val="auto"/>
                <w:sz w:val="21"/>
                <w:szCs w:val="18"/>
                <w:highlight w:val="none"/>
              </w:rPr>
              <w:t>序号</w:t>
            </w:r>
          </w:p>
        </w:tc>
        <w:tc>
          <w:tcPr>
            <w:tcW w:w="4036" w:type="dxa"/>
            <w:gridSpan w:val="2"/>
            <w:tcBorders>
              <w:top w:val="single" w:color="auto" w:sz="4" w:space="0"/>
              <w:left w:val="single" w:color="auto" w:sz="8" w:space="0"/>
              <w:bottom w:val="single" w:color="auto" w:sz="4" w:space="0"/>
              <w:right w:val="single" w:color="auto" w:sz="4" w:space="0"/>
            </w:tcBorders>
            <w:vAlign w:val="center"/>
          </w:tcPr>
          <w:p>
            <w:pPr>
              <w:spacing w:line="360" w:lineRule="auto"/>
              <w:jc w:val="center"/>
              <w:rPr>
                <w:rFonts w:ascii="宋体" w:hAnsi="宋体" w:cs="宋体"/>
                <w:color w:val="auto"/>
                <w:sz w:val="21"/>
                <w:szCs w:val="18"/>
                <w:highlight w:val="none"/>
              </w:rPr>
            </w:pPr>
            <w:r>
              <w:rPr>
                <w:rFonts w:hint="eastAsia" w:ascii="宋体" w:hAnsi="宋体" w:cs="宋体"/>
                <w:color w:val="auto"/>
                <w:sz w:val="21"/>
                <w:szCs w:val="18"/>
                <w:highlight w:val="none"/>
              </w:rPr>
              <w:t>项目</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jc w:val="center"/>
              <w:rPr>
                <w:rFonts w:ascii="宋体" w:hAnsi="宋体" w:cs="宋体"/>
                <w:color w:val="auto"/>
                <w:sz w:val="21"/>
                <w:szCs w:val="18"/>
                <w:highlight w:val="none"/>
              </w:rPr>
            </w:pPr>
            <w:r>
              <w:rPr>
                <w:rFonts w:hint="eastAsia" w:ascii="宋体" w:hAnsi="宋体" w:cs="宋体"/>
                <w:color w:val="auto"/>
                <w:sz w:val="21"/>
                <w:szCs w:val="18"/>
                <w:highlight w:val="none"/>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w:t>
            </w:r>
          </w:p>
        </w:tc>
        <w:tc>
          <w:tcPr>
            <w:tcW w:w="124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导体</w:t>
            </w: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材料及结构</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多根镀锡铜丝（TXR） 单丝最大直径≤0.31mm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2.1</w:t>
            </w:r>
          </w:p>
        </w:tc>
        <w:tc>
          <w:tcPr>
            <w:tcW w:w="1248" w:type="dxa"/>
            <w:vMerge w:val="restart"/>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绝缘</w:t>
            </w: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材料</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125℃辐照交联无卤低烟阻燃聚烯烃绝缘料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2.2</w:t>
            </w:r>
          </w:p>
        </w:tc>
        <w:tc>
          <w:tcPr>
            <w:tcW w:w="1248" w:type="dxa"/>
            <w:vMerge w:val="continue"/>
            <w:tcBorders>
              <w:top w:val="single" w:color="auto" w:sz="4" w:space="0"/>
              <w:left w:val="single" w:color="auto" w:sz="4" w:space="0"/>
              <w:bottom w:val="single" w:color="auto" w:sz="4" w:space="0"/>
              <w:right w:val="single" w:color="auto" w:sz="8"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平均厚度（mm）</w:t>
            </w:r>
          </w:p>
        </w:tc>
        <w:tc>
          <w:tcPr>
            <w:tcW w:w="4115"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2.3</w:t>
            </w:r>
          </w:p>
        </w:tc>
        <w:tc>
          <w:tcPr>
            <w:tcW w:w="1248" w:type="dxa"/>
            <w:vMerge w:val="continue"/>
            <w:tcBorders>
              <w:top w:val="single" w:color="auto" w:sz="4" w:space="0"/>
              <w:left w:val="single" w:color="auto" w:sz="4" w:space="0"/>
              <w:bottom w:val="single" w:color="auto" w:sz="4" w:space="0"/>
              <w:right w:val="single" w:color="auto" w:sz="8"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最薄厚度（mm）</w:t>
            </w:r>
          </w:p>
        </w:tc>
        <w:tc>
          <w:tcPr>
            <w:tcW w:w="4115" w:type="dxa"/>
            <w:tcBorders>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2.4</w:t>
            </w:r>
          </w:p>
        </w:tc>
        <w:tc>
          <w:tcPr>
            <w:tcW w:w="1248" w:type="dxa"/>
            <w:vMerge w:val="continue"/>
            <w:tcBorders>
              <w:top w:val="single" w:color="auto" w:sz="4" w:space="0"/>
              <w:left w:val="single" w:color="auto" w:sz="4" w:space="0"/>
              <w:bottom w:val="single" w:color="auto" w:sz="4" w:space="0"/>
              <w:right w:val="single" w:color="auto" w:sz="8"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绝缘颜色</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红、蓝或客户要求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w:t>
            </w:r>
          </w:p>
        </w:tc>
        <w:tc>
          <w:tcPr>
            <w:tcW w:w="124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铠装</w:t>
            </w: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类型</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ind w:firstLine="420" w:firstLineChars="200"/>
              <w:jc w:val="center"/>
              <w:rPr>
                <w:rFonts w:ascii="宋体" w:hAnsi="宋体" w:cs="宋体"/>
                <w:color w:val="auto"/>
                <w:sz w:val="21"/>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3.1</w:t>
            </w:r>
          </w:p>
        </w:tc>
        <w:tc>
          <w:tcPr>
            <w:tcW w:w="1248" w:type="dxa"/>
            <w:vMerge w:val="restart"/>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护套</w:t>
            </w: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材料</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125℃辐照交联无卤低烟阻燃聚烯烃护套料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3.2</w:t>
            </w:r>
          </w:p>
        </w:tc>
        <w:tc>
          <w:tcPr>
            <w:tcW w:w="1248" w:type="dxa"/>
            <w:vMerge w:val="continue"/>
            <w:tcBorders>
              <w:left w:val="single" w:color="auto" w:sz="8" w:space="0"/>
              <w:right w:val="single" w:color="auto" w:sz="4"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平均厚度（mm）</w:t>
            </w:r>
          </w:p>
        </w:tc>
        <w:tc>
          <w:tcPr>
            <w:tcW w:w="4115"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3.3</w:t>
            </w:r>
          </w:p>
        </w:tc>
        <w:tc>
          <w:tcPr>
            <w:tcW w:w="1248" w:type="dxa"/>
            <w:vMerge w:val="continue"/>
            <w:tcBorders>
              <w:left w:val="single" w:color="auto" w:sz="8" w:space="0"/>
              <w:right w:val="single" w:color="auto" w:sz="4"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最薄厚度（mm）</w:t>
            </w:r>
          </w:p>
        </w:tc>
        <w:tc>
          <w:tcPr>
            <w:tcW w:w="4115" w:type="dxa"/>
            <w:tcBorders>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3.4</w:t>
            </w:r>
          </w:p>
        </w:tc>
        <w:tc>
          <w:tcPr>
            <w:tcW w:w="1248" w:type="dxa"/>
            <w:vMerge w:val="continue"/>
            <w:tcBorders>
              <w:left w:val="single" w:color="auto" w:sz="8" w:space="0"/>
              <w:bottom w:val="single" w:color="auto" w:sz="4" w:space="0"/>
              <w:right w:val="single" w:color="auto" w:sz="4"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护套外径（mm）</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15.0±1.0（参考）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3.5</w:t>
            </w:r>
          </w:p>
        </w:tc>
        <w:tc>
          <w:tcPr>
            <w:tcW w:w="1248" w:type="dxa"/>
            <w:vMerge w:val="continue"/>
            <w:tcBorders>
              <w:left w:val="single" w:color="auto" w:sz="8" w:space="0"/>
              <w:bottom w:val="single" w:color="auto" w:sz="4" w:space="0"/>
              <w:right w:val="single" w:color="auto" w:sz="4" w:space="0"/>
            </w:tcBorders>
            <w:vAlign w:val="center"/>
          </w:tcPr>
          <w:p>
            <w:pPr>
              <w:spacing w:line="360" w:lineRule="auto"/>
              <w:ind w:firstLine="420" w:firstLineChars="200"/>
              <w:jc w:val="center"/>
              <w:rPr>
                <w:rFonts w:ascii="宋体" w:hAnsi="宋体" w:cs="宋体"/>
                <w:color w:val="auto"/>
                <w:sz w:val="21"/>
                <w:szCs w:val="18"/>
                <w:highlight w:val="none"/>
              </w:rPr>
            </w:pP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护套颜色</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黑色和红色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5</w:t>
            </w:r>
          </w:p>
        </w:tc>
        <w:tc>
          <w:tcPr>
            <w:tcW w:w="124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产品标识</w:t>
            </w:r>
          </w:p>
        </w:tc>
        <w:tc>
          <w:tcPr>
            <w:tcW w:w="2788" w:type="dxa"/>
            <w:tcBorders>
              <w:top w:val="single" w:color="auto" w:sz="4" w:space="0"/>
              <w:left w:val="single" w:color="auto" w:sz="8"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印字</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印字清晰、完整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6</w:t>
            </w:r>
          </w:p>
        </w:tc>
        <w:tc>
          <w:tcPr>
            <w:tcW w:w="8151" w:type="dxa"/>
            <w:gridSpan w:val="3"/>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电性能试验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6.1</w:t>
            </w:r>
          </w:p>
        </w:tc>
        <w:tc>
          <w:tcPr>
            <w:tcW w:w="124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耐压</w:t>
            </w: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成品耐压试验（AC）</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6.5kV/5min不击穿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6.2</w:t>
            </w:r>
          </w:p>
        </w:tc>
        <w:tc>
          <w:tcPr>
            <w:tcW w:w="124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导体电阻</w:t>
            </w: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20</w:t>
            </w:r>
            <w:r>
              <w:rPr>
                <w:rFonts w:hint="eastAsia" w:ascii="宋体" w:hAnsi="宋体" w:cs="宋体"/>
                <w:color w:val="auto"/>
                <w:sz w:val="21"/>
                <w:szCs w:val="18"/>
                <w:highlight w:val="none"/>
              </w:rPr>
              <w:sym w:font="Symbol" w:char="00B0"/>
            </w:r>
            <w:r>
              <w:rPr>
                <w:rFonts w:hint="eastAsia" w:ascii="宋体" w:hAnsi="宋体" w:cs="宋体"/>
                <w:color w:val="auto"/>
                <w:sz w:val="21"/>
                <w:szCs w:val="18"/>
                <w:highlight w:val="none"/>
              </w:rPr>
              <w:t>C时最大直流电阻：（</w:t>
            </w:r>
            <w:r>
              <w:rPr>
                <w:rFonts w:hint="eastAsia" w:ascii="宋体" w:hAnsi="宋体" w:cs="宋体"/>
                <w:color w:val="auto"/>
                <w:sz w:val="21"/>
                <w:szCs w:val="18"/>
                <w:highlight w:val="none"/>
              </w:rPr>
              <w:sym w:font="Symbol" w:char="0057"/>
            </w:r>
            <w:r>
              <w:rPr>
                <w:rFonts w:hint="eastAsia" w:ascii="宋体" w:hAnsi="宋体" w:cs="宋体"/>
                <w:color w:val="auto"/>
                <w:sz w:val="21"/>
                <w:szCs w:val="18"/>
                <w:highlight w:val="none"/>
              </w:rPr>
              <w:t>/km）</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26" w:type="dxa"/>
            <w:tcBorders>
              <w:top w:val="single" w:color="auto" w:sz="4" w:space="0"/>
              <w:left w:val="single" w:color="auto" w:sz="4" w:space="0"/>
              <w:bottom w:val="single" w:color="auto" w:sz="4" w:space="0"/>
              <w:right w:val="single" w:color="auto" w:sz="8"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7</w:t>
            </w:r>
          </w:p>
        </w:tc>
        <w:tc>
          <w:tcPr>
            <w:tcW w:w="124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外观</w:t>
            </w:r>
          </w:p>
        </w:tc>
        <w:tc>
          <w:tcPr>
            <w:tcW w:w="2788"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成品电缆表面</w:t>
            </w:r>
          </w:p>
        </w:tc>
        <w:tc>
          <w:tcPr>
            <w:tcW w:w="4115" w:type="dxa"/>
            <w:tcBorders>
              <w:top w:val="single" w:color="auto" w:sz="4" w:space="0"/>
              <w:left w:val="single" w:color="auto" w:sz="8" w:space="0"/>
              <w:bottom w:val="single" w:color="auto" w:sz="4" w:space="0"/>
              <w:right w:val="single" w:color="auto" w:sz="4" w:space="0"/>
            </w:tcBorders>
            <w:vAlign w:val="center"/>
          </w:tcPr>
          <w:p>
            <w:pP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光洁、圆整</w:t>
            </w:r>
          </w:p>
        </w:tc>
      </w:tr>
    </w:tbl>
    <w:p>
      <w:pPr>
        <w:pStyle w:val="5"/>
        <w:numPr>
          <w:ilvl w:val="2"/>
          <w:numId w:val="0"/>
        </w:numPr>
        <w:spacing w:line="360" w:lineRule="auto"/>
        <w:rPr>
          <w:rFonts w:ascii="宋体" w:hAnsi="宋体"/>
          <w:bCs w:val="0"/>
          <w:color w:val="auto"/>
          <w:sz w:val="24"/>
          <w:szCs w:val="22"/>
          <w:highlight w:val="none"/>
        </w:rPr>
      </w:pPr>
      <w:bookmarkStart w:id="554" w:name="_Toc20149756"/>
      <w:r>
        <w:rPr>
          <w:rFonts w:hint="eastAsia" w:ascii="宋体" w:hAnsi="宋体"/>
          <w:bCs w:val="0"/>
          <w:color w:val="auto"/>
          <w:sz w:val="24"/>
          <w:szCs w:val="22"/>
          <w:highlight w:val="none"/>
        </w:rPr>
        <w:t>四、施工规范及要求</w:t>
      </w:r>
      <w:bookmarkEnd w:id="554"/>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施工实施过程和成果均必须符合中华人民共和国国家标准及相关现行的标准、规范、规程、定额、办法、示例。</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承包人在使用或参考以下标准、规范以外的技术标准、规范时，应征得发包人的同意。</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承包人在项目实施过程中必须执行中华人民共和国《工程建设标准强制性条文》和与本项目相关的国家及行业现行标准、规范。</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对光伏电站的设计必须满足当年国家执行相关标准的最新要求，包括但不限于以下标准要求：</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（1）设计应符合GB50797-2012《光伏发电工程设计规范》及相关标准的规定；</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（2）施工应符合GB50794-2012《光伏发电工程施工规范》及相关标准的规定；</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（3）光伏电站应符合GB50796-2012《光伏发电工程验收规范》及相关标准的规定；</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（4）光伏电站应符合《光电(PV)阵列--设计要求》IEC/TS 62548-2013，《网格连接光伏系统--系统文件、试运行测试和检查的最低要求》IEC62446-2009，《建筑物电气装置》IEC60364，《光伏组件安全鉴定》IEC61730，《地面用晶体硅光伏组件-设计鉴定和定型》IEC61215，《光伏电力系统用电力变流器的安全》IEC62109，《光电系统性能监测--测量,数据交换和分析指南》IEC61724-1998，《光伏系统性能监测测量、数据交换和分析导则》</w:t>
      </w:r>
    </w:p>
    <w:p>
      <w:pPr>
        <w:adjustRightInd w:val="0"/>
        <w:snapToGrid w:val="0"/>
        <w:spacing w:line="360" w:lineRule="auto"/>
        <w:ind w:firstLine="480" w:firstLineChars="200"/>
        <w:rPr>
          <w:rFonts w:ascii="宋体" w:hAnsi="宋体" w:cs="宋体"/>
          <w:color w:val="auto"/>
          <w:kern w:val="0"/>
          <w:szCs w:val="21"/>
          <w:highlight w:val="none"/>
        </w:rPr>
      </w:pPr>
      <w:r>
        <w:rPr>
          <w:rFonts w:hint="eastAsia" w:ascii="宋体" w:hAnsi="宋体" w:cs="宋体"/>
          <w:color w:val="auto"/>
          <w:kern w:val="0"/>
          <w:szCs w:val="21"/>
          <w:highlight w:val="none"/>
        </w:rPr>
        <w:t>（5）项目实施期间如遇到最新标准发布，则适用最新标准，如果标准之间存在差异，按照最严格标准执行。其他标准按照专用条款及技术标准和要求执行。</w:t>
      </w:r>
    </w:p>
    <w:p>
      <w:pPr>
        <w:spacing w:line="360" w:lineRule="auto"/>
        <w:ind w:firstLine="480" w:firstLineChars="200"/>
        <w:rPr>
          <w:rFonts w:ascii="宋体" w:hAnsi="宋体"/>
          <w:color w:val="auto"/>
          <w:szCs w:val="24"/>
          <w:highlight w:val="none"/>
        </w:rPr>
      </w:pPr>
    </w:p>
    <w:p>
      <w:pPr>
        <w:spacing w:line="360" w:lineRule="auto"/>
        <w:ind w:firstLine="410" w:firstLineChars="171"/>
        <w:rPr>
          <w:color w:val="auto"/>
          <w:highlight w:val="none"/>
        </w:rPr>
      </w:pPr>
      <w:r>
        <w:rPr>
          <w:color w:val="auto"/>
          <w:szCs w:val="24"/>
          <w:highlight w:val="none"/>
        </w:rPr>
        <w:br w:type="page"/>
      </w:r>
      <w:bookmarkEnd w:id="21"/>
      <w:bookmarkStart w:id="555" w:name="_Toc490271746"/>
    </w:p>
    <w:bookmarkEnd w:id="555"/>
    <w:p>
      <w:pPr>
        <w:pStyle w:val="3"/>
        <w:spacing w:before="120" w:after="240"/>
        <w:rPr>
          <w:color w:val="auto"/>
          <w:kern w:val="44"/>
          <w:sz w:val="48"/>
          <w:szCs w:val="48"/>
          <w:highlight w:val="none"/>
        </w:rPr>
      </w:pPr>
      <w:bookmarkStart w:id="556" w:name="_Toc24730"/>
      <w:bookmarkStart w:id="557" w:name="_Toc152042576"/>
      <w:bookmarkStart w:id="558" w:name="_Toc260404924"/>
      <w:bookmarkStart w:id="559" w:name="_Toc152045787"/>
      <w:bookmarkStart w:id="560" w:name="_Toc230400429"/>
      <w:bookmarkStart w:id="561" w:name="_Toc144974856"/>
      <w:r>
        <w:rPr>
          <w:rFonts w:hint="eastAsia"/>
          <w:color w:val="auto"/>
          <w:kern w:val="44"/>
          <w:sz w:val="48"/>
          <w:szCs w:val="48"/>
          <w:highlight w:val="none"/>
        </w:rPr>
        <w:t>第五章  响应文件</w:t>
      </w:r>
      <w:r>
        <w:rPr>
          <w:color w:val="auto"/>
          <w:kern w:val="44"/>
          <w:sz w:val="48"/>
          <w:szCs w:val="48"/>
          <w:highlight w:val="none"/>
        </w:rPr>
        <w:t>格式</w:t>
      </w:r>
      <w:bookmarkEnd w:id="556"/>
    </w:p>
    <w:p>
      <w:pPr>
        <w:spacing w:line="440" w:lineRule="exact"/>
        <w:ind w:firstLine="720"/>
        <w:jc w:val="center"/>
        <w:rPr>
          <w:rFonts w:eastAsia="Tahoma"/>
          <w:color w:val="auto"/>
          <w:sz w:val="20"/>
          <w:szCs w:val="20"/>
          <w:highlight w:val="none"/>
        </w:rPr>
      </w:pPr>
      <w:r>
        <w:rPr>
          <w:color w:val="auto"/>
          <w:kern w:val="44"/>
          <w:sz w:val="48"/>
          <w:szCs w:val="48"/>
          <w:highlight w:val="none"/>
        </w:rPr>
        <w:br w:type="page"/>
      </w:r>
      <w:r>
        <w:rPr>
          <w:rFonts w:hint="eastAsia" w:eastAsia="Tahoma"/>
          <w:color w:val="auto"/>
          <w:sz w:val="20"/>
          <w:szCs w:val="20"/>
          <w:highlight w:val="none"/>
        </w:rPr>
        <w:t xml:space="preserve">                                                                   </w:t>
      </w:r>
    </w:p>
    <w:p>
      <w:pPr>
        <w:spacing w:line="440" w:lineRule="exact"/>
        <w:ind w:firstLine="800"/>
        <w:rPr>
          <w:rFonts w:eastAsia="Tahoma"/>
          <w:color w:val="auto"/>
          <w:sz w:val="40"/>
          <w:szCs w:val="40"/>
          <w:highlight w:val="none"/>
        </w:rPr>
      </w:pPr>
    </w:p>
    <w:p>
      <w:pPr>
        <w:spacing w:line="440" w:lineRule="exact"/>
        <w:ind w:firstLine="800"/>
        <w:jc w:val="center"/>
        <w:rPr>
          <w:rFonts w:eastAsia="Tahoma"/>
          <w:color w:val="auto"/>
          <w:sz w:val="40"/>
          <w:szCs w:val="40"/>
          <w:highlight w:val="none"/>
        </w:rPr>
      </w:pPr>
    </w:p>
    <w:p>
      <w:pPr>
        <w:pStyle w:val="2"/>
        <w:rPr>
          <w:rFonts w:eastAsia="Tahoma"/>
          <w:color w:val="auto"/>
          <w:sz w:val="40"/>
          <w:szCs w:val="40"/>
          <w:highlight w:val="none"/>
        </w:rPr>
      </w:pPr>
    </w:p>
    <w:p>
      <w:pPr>
        <w:rPr>
          <w:rFonts w:ascii="Times New Roman" w:hAnsi="Times New Roman"/>
          <w:b/>
          <w:bCs/>
          <w:color w:val="auto"/>
          <w:sz w:val="36"/>
          <w:highlight w:val="none"/>
        </w:rPr>
      </w:pPr>
    </w:p>
    <w:p>
      <w:pPr>
        <w:widowControl/>
        <w:tabs>
          <w:tab w:val="left" w:pos="3828"/>
        </w:tabs>
        <w:autoSpaceDE w:val="0"/>
        <w:autoSpaceDN w:val="0"/>
        <w:spacing w:line="440" w:lineRule="atLeast"/>
        <w:ind w:left="-215" w:right="-414"/>
        <w:jc w:val="center"/>
        <w:textAlignment w:val="bottom"/>
        <w:rPr>
          <w:rFonts w:ascii="黑体" w:eastAsia="黑体"/>
          <w:b/>
          <w:bCs/>
          <w:color w:val="auto"/>
          <w:sz w:val="48"/>
          <w:szCs w:val="48"/>
          <w:highlight w:val="none"/>
        </w:rPr>
      </w:pPr>
      <w:r>
        <w:rPr>
          <w:rFonts w:hint="eastAsia" w:ascii="黑体" w:eastAsia="黑体"/>
          <w:b/>
          <w:bCs/>
          <w:color w:val="auto"/>
          <w:sz w:val="48"/>
          <w:szCs w:val="48"/>
          <w:highlight w:val="none"/>
          <w:lang w:eastAsia="zh-CN"/>
        </w:rPr>
        <w:t>上固服务区</w:t>
      </w:r>
      <w:r>
        <w:rPr>
          <w:rFonts w:hint="eastAsia" w:ascii="黑体" w:eastAsia="黑体"/>
          <w:b/>
          <w:bCs/>
          <w:color w:val="auto"/>
          <w:sz w:val="48"/>
          <w:szCs w:val="48"/>
          <w:highlight w:val="none"/>
        </w:rPr>
        <w:t>分布式</w:t>
      </w:r>
      <w:r>
        <w:rPr>
          <w:rFonts w:hint="eastAsia" w:ascii="黑体" w:eastAsia="黑体"/>
          <w:b/>
          <w:bCs/>
          <w:color w:val="auto"/>
          <w:sz w:val="48"/>
          <w:szCs w:val="48"/>
          <w:highlight w:val="none"/>
          <w:lang w:eastAsia="zh-CN"/>
        </w:rPr>
        <w:t>光伏车棚</w:t>
      </w:r>
      <w:r>
        <w:rPr>
          <w:rFonts w:hint="eastAsia" w:ascii="黑体" w:eastAsia="黑体"/>
          <w:b/>
          <w:bCs/>
          <w:color w:val="auto"/>
          <w:sz w:val="48"/>
          <w:szCs w:val="48"/>
          <w:highlight w:val="none"/>
        </w:rPr>
        <w:t>设备设施</w:t>
      </w:r>
    </w:p>
    <w:p>
      <w:pPr>
        <w:widowControl/>
        <w:tabs>
          <w:tab w:val="left" w:pos="3828"/>
        </w:tabs>
        <w:autoSpaceDE w:val="0"/>
        <w:autoSpaceDN w:val="0"/>
        <w:spacing w:line="440" w:lineRule="atLeast"/>
        <w:ind w:left="-215" w:right="-414"/>
        <w:jc w:val="center"/>
        <w:textAlignment w:val="bottom"/>
        <w:rPr>
          <w:rFonts w:eastAsia="黑体"/>
          <w:b/>
          <w:bCs/>
          <w:snapToGrid w:val="0"/>
          <w:color w:val="auto"/>
          <w:spacing w:val="60"/>
          <w:sz w:val="96"/>
          <w:szCs w:val="24"/>
          <w:highlight w:val="none"/>
        </w:rPr>
      </w:pPr>
      <w:r>
        <w:rPr>
          <w:rFonts w:hint="eastAsia" w:ascii="黑体" w:eastAsia="黑体"/>
          <w:b/>
          <w:bCs/>
          <w:color w:val="auto"/>
          <w:sz w:val="48"/>
          <w:szCs w:val="48"/>
          <w:highlight w:val="none"/>
        </w:rPr>
        <w:t>施工项目</w:t>
      </w:r>
    </w:p>
    <w:p>
      <w:pPr>
        <w:spacing w:line="440" w:lineRule="exact"/>
        <w:ind w:firstLine="800"/>
        <w:jc w:val="center"/>
        <w:rPr>
          <w:rFonts w:eastAsia="Tahoma"/>
          <w:b/>
          <w:bCs/>
          <w:color w:val="auto"/>
          <w:sz w:val="40"/>
          <w:szCs w:val="40"/>
          <w:highlight w:val="none"/>
        </w:rPr>
      </w:pPr>
    </w:p>
    <w:p>
      <w:pPr>
        <w:spacing w:line="440" w:lineRule="exact"/>
        <w:ind w:firstLine="800"/>
        <w:jc w:val="center"/>
        <w:rPr>
          <w:rFonts w:eastAsia="Tahoma"/>
          <w:color w:val="auto"/>
          <w:sz w:val="40"/>
          <w:szCs w:val="40"/>
          <w:highlight w:val="none"/>
        </w:rPr>
      </w:pPr>
    </w:p>
    <w:p>
      <w:pPr>
        <w:jc w:val="center"/>
        <w:rPr>
          <w:rFonts w:ascii="Tahoma" w:eastAsia="Tahoma"/>
          <w:b/>
          <w:color w:val="auto"/>
          <w:sz w:val="72"/>
          <w:szCs w:val="72"/>
          <w:highlight w:val="none"/>
        </w:rPr>
      </w:pPr>
      <w:r>
        <w:rPr>
          <w:rFonts w:hint="eastAsia" w:ascii="Tahoma"/>
          <w:b/>
          <w:color w:val="auto"/>
          <w:sz w:val="72"/>
          <w:szCs w:val="72"/>
          <w:highlight w:val="none"/>
        </w:rPr>
        <w:t xml:space="preserve">响  应  </w:t>
      </w:r>
      <w:r>
        <w:rPr>
          <w:rFonts w:hint="eastAsia" w:ascii="Tahoma" w:eastAsia="Tahoma"/>
          <w:b/>
          <w:color w:val="auto"/>
          <w:sz w:val="72"/>
          <w:szCs w:val="72"/>
          <w:highlight w:val="none"/>
        </w:rPr>
        <w:t>文  件</w:t>
      </w:r>
    </w:p>
    <w:p>
      <w:pPr>
        <w:spacing w:line="200" w:lineRule="atLeast"/>
        <w:ind w:firstLine="640"/>
        <w:jc w:val="center"/>
        <w:rPr>
          <w:rFonts w:eastAsia="Tahoma"/>
          <w:color w:val="auto"/>
          <w:sz w:val="32"/>
          <w:highlight w:val="none"/>
        </w:rPr>
      </w:pPr>
    </w:p>
    <w:p>
      <w:pPr>
        <w:spacing w:line="200" w:lineRule="atLeast"/>
        <w:ind w:firstLine="640"/>
        <w:jc w:val="center"/>
        <w:rPr>
          <w:rFonts w:eastAsia="Tahoma"/>
          <w:color w:val="auto"/>
          <w:sz w:val="32"/>
          <w:highlight w:val="none"/>
        </w:rPr>
      </w:pPr>
    </w:p>
    <w:p>
      <w:pPr>
        <w:spacing w:line="200" w:lineRule="atLeast"/>
        <w:ind w:firstLine="640"/>
        <w:jc w:val="center"/>
        <w:rPr>
          <w:rFonts w:eastAsia="Tahoma"/>
          <w:color w:val="auto"/>
          <w:sz w:val="32"/>
          <w:highlight w:val="none"/>
        </w:rPr>
      </w:pPr>
    </w:p>
    <w:p>
      <w:pPr>
        <w:spacing w:line="200" w:lineRule="atLeast"/>
        <w:ind w:firstLine="640"/>
        <w:jc w:val="center"/>
        <w:rPr>
          <w:rFonts w:eastAsia="Tahoma"/>
          <w:color w:val="auto"/>
          <w:sz w:val="32"/>
          <w:highlight w:val="none"/>
        </w:rPr>
      </w:pPr>
    </w:p>
    <w:p>
      <w:pPr>
        <w:spacing w:line="700" w:lineRule="atLeast"/>
        <w:ind w:firstLine="640"/>
        <w:jc w:val="center"/>
        <w:rPr>
          <w:rFonts w:eastAsia="Tahoma"/>
          <w:color w:val="auto"/>
          <w:sz w:val="32"/>
          <w:highlight w:val="none"/>
        </w:rPr>
      </w:pPr>
    </w:p>
    <w:p>
      <w:pPr>
        <w:spacing w:line="700" w:lineRule="atLeast"/>
        <w:ind w:firstLine="640"/>
        <w:jc w:val="center"/>
        <w:rPr>
          <w:rFonts w:eastAsia="Tahoma"/>
          <w:color w:val="auto"/>
          <w:sz w:val="32"/>
          <w:highlight w:val="none"/>
        </w:rPr>
      </w:pPr>
    </w:p>
    <w:p>
      <w:pPr>
        <w:spacing w:line="700" w:lineRule="atLeast"/>
        <w:ind w:firstLine="640"/>
        <w:jc w:val="center"/>
        <w:rPr>
          <w:rFonts w:eastAsia="Tahoma"/>
          <w:color w:val="auto"/>
          <w:sz w:val="32"/>
          <w:highlight w:val="none"/>
        </w:rPr>
      </w:pPr>
    </w:p>
    <w:p>
      <w:pPr>
        <w:spacing w:line="700" w:lineRule="atLeast"/>
        <w:ind w:firstLine="640"/>
        <w:jc w:val="center"/>
        <w:rPr>
          <w:rFonts w:eastAsia="Tahoma"/>
          <w:color w:val="auto"/>
          <w:sz w:val="32"/>
          <w:highlight w:val="none"/>
        </w:rPr>
      </w:pPr>
    </w:p>
    <w:p>
      <w:pPr>
        <w:spacing w:line="440" w:lineRule="exact"/>
        <w:ind w:firstLine="400"/>
        <w:rPr>
          <w:rFonts w:eastAsia="Tahoma"/>
          <w:color w:val="auto"/>
          <w:sz w:val="20"/>
          <w:szCs w:val="20"/>
          <w:highlight w:val="none"/>
        </w:rPr>
      </w:pPr>
    </w:p>
    <w:p>
      <w:pPr>
        <w:spacing w:line="440" w:lineRule="exact"/>
        <w:ind w:firstLine="562"/>
        <w:jc w:val="center"/>
        <w:rPr>
          <w:rFonts w:ascii="Tahoma" w:eastAsia="Tahoma"/>
          <w:b/>
          <w:color w:val="auto"/>
          <w:sz w:val="28"/>
          <w:szCs w:val="28"/>
          <w:highlight w:val="none"/>
        </w:rPr>
      </w:pPr>
      <w:r>
        <w:rPr>
          <w:rFonts w:hint="eastAsia" w:ascii="Tahoma"/>
          <w:b/>
          <w:color w:val="auto"/>
          <w:sz w:val="28"/>
          <w:szCs w:val="28"/>
          <w:highlight w:val="none"/>
        </w:rPr>
        <w:t>承包商</w:t>
      </w:r>
      <w:r>
        <w:rPr>
          <w:rFonts w:hint="eastAsia" w:ascii="Tahoma" w:eastAsia="Tahoma"/>
          <w:b/>
          <w:color w:val="auto"/>
          <w:sz w:val="28"/>
          <w:szCs w:val="28"/>
          <w:highlight w:val="none"/>
        </w:rPr>
        <w:t>：</w:t>
      </w:r>
      <w:r>
        <w:rPr>
          <w:rFonts w:hint="eastAsia" w:ascii="Tahoma" w:eastAsia="Tahoma"/>
          <w:b/>
          <w:color w:val="auto"/>
          <w:sz w:val="28"/>
          <w:szCs w:val="28"/>
          <w:highlight w:val="none"/>
          <w:u w:val="single"/>
        </w:rPr>
        <w:t xml:space="preserve">                                  </w:t>
      </w:r>
      <w:r>
        <w:rPr>
          <w:rFonts w:hint="eastAsia" w:ascii="Tahoma" w:eastAsia="Tahoma"/>
          <w:b/>
          <w:color w:val="auto"/>
          <w:sz w:val="28"/>
          <w:szCs w:val="28"/>
          <w:highlight w:val="none"/>
        </w:rPr>
        <w:t>（盖单位章）</w:t>
      </w:r>
    </w:p>
    <w:p>
      <w:pPr>
        <w:spacing w:line="440" w:lineRule="exact"/>
        <w:ind w:firstLine="560"/>
        <w:rPr>
          <w:rFonts w:eastAsia="Tahoma"/>
          <w:color w:val="auto"/>
          <w:sz w:val="28"/>
          <w:szCs w:val="28"/>
          <w:highlight w:val="none"/>
        </w:rPr>
      </w:pPr>
    </w:p>
    <w:p>
      <w:pPr>
        <w:spacing w:line="440" w:lineRule="exact"/>
        <w:ind w:firstLine="560"/>
        <w:jc w:val="center"/>
        <w:rPr>
          <w:rFonts w:eastAsia="Tahoma"/>
          <w:b/>
          <w:color w:val="auto"/>
          <w:sz w:val="28"/>
          <w:szCs w:val="28"/>
          <w:highlight w:val="none"/>
        </w:rPr>
      </w:pPr>
      <w:r>
        <w:rPr>
          <w:rFonts w:eastAsia="Tahoma"/>
          <w:color w:val="auto"/>
          <w:sz w:val="28"/>
          <w:szCs w:val="28"/>
          <w:highlight w:val="none"/>
          <w:u w:val="single"/>
        </w:rPr>
        <w:t xml:space="preserve">        </w:t>
      </w:r>
      <w:r>
        <w:rPr>
          <w:rFonts w:eastAsia="Tahoma"/>
          <w:b/>
          <w:color w:val="auto"/>
          <w:sz w:val="28"/>
          <w:szCs w:val="28"/>
          <w:highlight w:val="none"/>
        </w:rPr>
        <w:t>年</w:t>
      </w:r>
      <w:r>
        <w:rPr>
          <w:rFonts w:eastAsia="Tahoma"/>
          <w:color w:val="auto"/>
          <w:sz w:val="28"/>
          <w:szCs w:val="28"/>
          <w:highlight w:val="none"/>
          <w:u w:val="single"/>
        </w:rPr>
        <w:t xml:space="preserve">        </w:t>
      </w:r>
      <w:r>
        <w:rPr>
          <w:rFonts w:eastAsia="Tahoma"/>
          <w:b/>
          <w:color w:val="auto"/>
          <w:sz w:val="28"/>
          <w:szCs w:val="28"/>
          <w:highlight w:val="none"/>
        </w:rPr>
        <w:t>月</w:t>
      </w:r>
      <w:r>
        <w:rPr>
          <w:rFonts w:eastAsia="Tahoma"/>
          <w:color w:val="auto"/>
          <w:sz w:val="28"/>
          <w:szCs w:val="28"/>
          <w:highlight w:val="none"/>
          <w:u w:val="single"/>
        </w:rPr>
        <w:t xml:space="preserve">         </w:t>
      </w:r>
      <w:r>
        <w:rPr>
          <w:rFonts w:eastAsia="Tahoma"/>
          <w:b/>
          <w:color w:val="auto"/>
          <w:sz w:val="28"/>
          <w:szCs w:val="28"/>
          <w:highlight w:val="none"/>
        </w:rPr>
        <w:t>日</w:t>
      </w:r>
    </w:p>
    <w:p>
      <w:pPr>
        <w:spacing w:line="440" w:lineRule="exact"/>
        <w:ind w:firstLine="560"/>
        <w:jc w:val="center"/>
        <w:rPr>
          <w:color w:val="auto"/>
          <w:sz w:val="30"/>
          <w:szCs w:val="30"/>
          <w:highlight w:val="none"/>
        </w:rPr>
      </w:pPr>
    </w:p>
    <w:p>
      <w:pPr>
        <w:spacing w:line="440" w:lineRule="exact"/>
        <w:ind w:firstLine="560"/>
        <w:jc w:val="center"/>
        <w:rPr>
          <w:color w:val="auto"/>
          <w:sz w:val="30"/>
          <w:szCs w:val="30"/>
          <w:highlight w:val="none"/>
        </w:rPr>
      </w:pPr>
      <w:r>
        <w:rPr>
          <w:color w:val="auto"/>
          <w:sz w:val="30"/>
          <w:szCs w:val="30"/>
          <w:highlight w:val="none"/>
        </w:rPr>
        <w:br w:type="page"/>
      </w:r>
    </w:p>
    <w:p>
      <w:pPr>
        <w:spacing w:line="440" w:lineRule="exact"/>
        <w:ind w:firstLine="560"/>
        <w:jc w:val="center"/>
        <w:rPr>
          <w:rFonts w:eastAsia="Tahoma"/>
          <w:color w:val="auto"/>
          <w:sz w:val="30"/>
          <w:szCs w:val="30"/>
          <w:highlight w:val="none"/>
        </w:rPr>
      </w:pPr>
      <w:r>
        <w:rPr>
          <w:rFonts w:eastAsia="Tahoma"/>
          <w:color w:val="auto"/>
          <w:sz w:val="30"/>
          <w:szCs w:val="30"/>
          <w:highlight w:val="none"/>
        </w:rPr>
        <w:t>目</w:t>
      </w:r>
      <w:r>
        <w:rPr>
          <w:rFonts w:hint="eastAsia" w:eastAsia="Tahoma"/>
          <w:color w:val="auto"/>
          <w:sz w:val="30"/>
          <w:szCs w:val="30"/>
          <w:highlight w:val="none"/>
        </w:rPr>
        <w:t xml:space="preserve">  </w:t>
      </w:r>
      <w:r>
        <w:rPr>
          <w:rFonts w:eastAsia="Tahoma"/>
          <w:color w:val="auto"/>
          <w:sz w:val="30"/>
          <w:szCs w:val="30"/>
          <w:highlight w:val="none"/>
        </w:rPr>
        <w:t>录</w:t>
      </w:r>
    </w:p>
    <w:p>
      <w:pPr>
        <w:spacing w:line="860" w:lineRule="atLeast"/>
        <w:ind w:left="1759" w:leftChars="473" w:hanging="624" w:hangingChars="223"/>
        <w:rPr>
          <w:rFonts w:eastAsia="Tahoma"/>
          <w:color w:val="auto"/>
          <w:sz w:val="28"/>
          <w:szCs w:val="28"/>
          <w:highlight w:val="none"/>
        </w:rPr>
      </w:pPr>
      <w:r>
        <w:rPr>
          <w:rFonts w:eastAsia="Tahoma"/>
          <w:color w:val="auto"/>
          <w:sz w:val="28"/>
          <w:szCs w:val="28"/>
          <w:highlight w:val="none"/>
        </w:rPr>
        <w:t>一、</w:t>
      </w:r>
      <w:r>
        <w:rPr>
          <w:rFonts w:hint="eastAsia"/>
          <w:color w:val="auto"/>
          <w:sz w:val="28"/>
          <w:szCs w:val="28"/>
          <w:highlight w:val="none"/>
        </w:rPr>
        <w:t>响应</w:t>
      </w:r>
      <w:r>
        <w:rPr>
          <w:rFonts w:eastAsia="Tahoma"/>
          <w:color w:val="auto"/>
          <w:sz w:val="28"/>
          <w:szCs w:val="28"/>
          <w:highlight w:val="none"/>
        </w:rPr>
        <w:t>函</w:t>
      </w:r>
    </w:p>
    <w:p>
      <w:pPr>
        <w:spacing w:line="860" w:lineRule="atLeast"/>
        <w:ind w:left="1759" w:leftChars="473" w:hanging="624" w:hangingChars="223"/>
        <w:rPr>
          <w:color w:val="auto"/>
          <w:sz w:val="28"/>
          <w:szCs w:val="28"/>
          <w:highlight w:val="none"/>
        </w:rPr>
      </w:pPr>
      <w:r>
        <w:rPr>
          <w:rFonts w:eastAsia="Tahoma"/>
          <w:color w:val="auto"/>
          <w:sz w:val="28"/>
          <w:szCs w:val="28"/>
          <w:highlight w:val="none"/>
        </w:rPr>
        <w:t>二、法定代表人身份证明</w:t>
      </w:r>
      <w:r>
        <w:rPr>
          <w:rFonts w:hint="eastAsia"/>
          <w:color w:val="auto"/>
          <w:sz w:val="28"/>
          <w:szCs w:val="28"/>
          <w:highlight w:val="none"/>
        </w:rPr>
        <w:t>及</w:t>
      </w:r>
      <w:r>
        <w:rPr>
          <w:rFonts w:eastAsia="Tahoma"/>
          <w:color w:val="auto"/>
          <w:sz w:val="28"/>
          <w:szCs w:val="28"/>
          <w:highlight w:val="none"/>
        </w:rPr>
        <w:t>法定代表人的授权委托书</w:t>
      </w:r>
      <w:r>
        <w:rPr>
          <w:rFonts w:hint="eastAsia"/>
          <w:color w:val="auto"/>
          <w:sz w:val="40"/>
          <w:szCs w:val="40"/>
          <w:highlight w:val="none"/>
          <w:vertAlign w:val="subscript"/>
        </w:rPr>
        <w:t>（如有）</w:t>
      </w:r>
    </w:p>
    <w:p>
      <w:pPr>
        <w:spacing w:line="860" w:lineRule="atLeast"/>
        <w:ind w:left="1759" w:leftChars="473" w:hanging="624" w:hangingChars="223"/>
        <w:rPr>
          <w:color w:val="auto"/>
          <w:sz w:val="28"/>
          <w:szCs w:val="28"/>
          <w:highlight w:val="none"/>
        </w:rPr>
      </w:pPr>
      <w:r>
        <w:rPr>
          <w:rFonts w:hint="eastAsia"/>
          <w:color w:val="auto"/>
          <w:sz w:val="28"/>
          <w:szCs w:val="28"/>
          <w:highlight w:val="none"/>
        </w:rPr>
        <w:t>三</w:t>
      </w:r>
      <w:r>
        <w:rPr>
          <w:rFonts w:eastAsia="Tahoma"/>
          <w:color w:val="auto"/>
          <w:sz w:val="28"/>
          <w:szCs w:val="28"/>
          <w:highlight w:val="none"/>
        </w:rPr>
        <w:t>、资格审查</w:t>
      </w:r>
      <w:r>
        <w:rPr>
          <w:rFonts w:hint="eastAsia"/>
          <w:color w:val="auto"/>
          <w:sz w:val="28"/>
          <w:szCs w:val="28"/>
          <w:highlight w:val="none"/>
        </w:rPr>
        <w:t>资料</w:t>
      </w:r>
    </w:p>
    <w:p>
      <w:pPr>
        <w:spacing w:line="860" w:lineRule="atLeast"/>
        <w:ind w:left="1759" w:leftChars="473" w:hanging="624" w:hangingChars="223"/>
        <w:rPr>
          <w:color w:val="auto"/>
          <w:sz w:val="28"/>
          <w:szCs w:val="28"/>
          <w:highlight w:val="none"/>
        </w:rPr>
      </w:pPr>
      <w:r>
        <w:rPr>
          <w:rFonts w:hint="eastAsia"/>
          <w:color w:val="auto"/>
          <w:sz w:val="28"/>
          <w:szCs w:val="28"/>
          <w:highlight w:val="none"/>
        </w:rPr>
        <w:t>四</w:t>
      </w:r>
      <w:r>
        <w:rPr>
          <w:rFonts w:hint="eastAsia" w:eastAsia="Tahoma"/>
          <w:color w:val="auto"/>
          <w:sz w:val="28"/>
          <w:szCs w:val="28"/>
          <w:highlight w:val="none"/>
        </w:rPr>
        <w:t>、</w:t>
      </w:r>
      <w:r>
        <w:rPr>
          <w:rFonts w:hint="eastAsia"/>
          <w:color w:val="auto"/>
          <w:sz w:val="28"/>
          <w:szCs w:val="28"/>
          <w:highlight w:val="none"/>
        </w:rPr>
        <w:t>项目管理机构</w:t>
      </w:r>
    </w:p>
    <w:p>
      <w:pPr>
        <w:spacing w:line="860" w:lineRule="atLeast"/>
        <w:ind w:left="1759" w:leftChars="473" w:hanging="624" w:hangingChars="223"/>
        <w:rPr>
          <w:color w:val="auto"/>
          <w:sz w:val="28"/>
          <w:szCs w:val="28"/>
          <w:highlight w:val="none"/>
        </w:rPr>
      </w:pPr>
      <w:r>
        <w:rPr>
          <w:rFonts w:hint="eastAsia"/>
          <w:color w:val="auto"/>
          <w:sz w:val="28"/>
          <w:szCs w:val="28"/>
          <w:highlight w:val="none"/>
        </w:rPr>
        <w:t>五</w:t>
      </w:r>
      <w:r>
        <w:rPr>
          <w:rFonts w:eastAsia="Tahoma"/>
          <w:color w:val="auto"/>
          <w:sz w:val="28"/>
          <w:szCs w:val="28"/>
          <w:highlight w:val="none"/>
        </w:rPr>
        <w:t>、</w:t>
      </w:r>
      <w:r>
        <w:rPr>
          <w:rFonts w:hint="eastAsia" w:ascii="宋体" w:hAnsi="宋体"/>
          <w:color w:val="auto"/>
          <w:sz w:val="28"/>
          <w:szCs w:val="28"/>
          <w:highlight w:val="none"/>
        </w:rPr>
        <w:t>施工组织</w:t>
      </w:r>
      <w:r>
        <w:rPr>
          <w:rFonts w:ascii="宋体" w:hAnsi="宋体"/>
          <w:color w:val="auto"/>
          <w:sz w:val="28"/>
          <w:szCs w:val="28"/>
          <w:highlight w:val="none"/>
        </w:rPr>
        <w:t>方案</w:t>
      </w:r>
      <w:r>
        <w:rPr>
          <w:rFonts w:hint="eastAsia" w:ascii="宋体" w:hAnsi="宋体"/>
          <w:color w:val="auto"/>
          <w:sz w:val="28"/>
          <w:szCs w:val="28"/>
          <w:highlight w:val="none"/>
        </w:rPr>
        <w:t>及安全措施</w:t>
      </w:r>
    </w:p>
    <w:p>
      <w:pPr>
        <w:spacing w:line="860" w:lineRule="atLeast"/>
        <w:ind w:left="1759" w:leftChars="473" w:hanging="624" w:hangingChars="223"/>
        <w:rPr>
          <w:color w:val="auto"/>
          <w:sz w:val="28"/>
          <w:szCs w:val="28"/>
          <w:highlight w:val="none"/>
        </w:rPr>
      </w:pPr>
      <w:r>
        <w:rPr>
          <w:rFonts w:hint="eastAsia"/>
          <w:color w:val="auto"/>
          <w:sz w:val="28"/>
          <w:szCs w:val="28"/>
          <w:highlight w:val="none"/>
        </w:rPr>
        <w:t>六、报价清单</w:t>
      </w:r>
    </w:p>
    <w:p>
      <w:pPr>
        <w:spacing w:line="860" w:lineRule="atLeast"/>
        <w:ind w:left="1759" w:leftChars="473" w:hanging="624" w:hangingChars="223"/>
        <w:rPr>
          <w:color w:val="auto"/>
          <w:sz w:val="28"/>
          <w:szCs w:val="28"/>
          <w:highlight w:val="none"/>
        </w:rPr>
      </w:pPr>
    </w:p>
    <w:p>
      <w:pPr>
        <w:spacing w:line="860" w:lineRule="atLeast"/>
        <w:rPr>
          <w:color w:val="auto"/>
          <w:sz w:val="28"/>
          <w:szCs w:val="28"/>
          <w:highlight w:val="none"/>
        </w:rPr>
      </w:pPr>
      <w:r>
        <w:rPr>
          <w:rFonts w:hint="eastAsia"/>
          <w:color w:val="auto"/>
          <w:sz w:val="28"/>
          <w:szCs w:val="28"/>
          <w:highlight w:val="none"/>
        </w:rPr>
        <w:t xml:space="preserve">       </w:t>
      </w:r>
    </w:p>
    <w:p>
      <w:pPr>
        <w:pStyle w:val="4"/>
        <w:spacing w:before="240" w:after="120" w:line="360" w:lineRule="auto"/>
        <w:rPr>
          <w:rFonts w:ascii="宋体" w:hAnsi="宋体"/>
          <w:b w:val="0"/>
          <w:color w:val="auto"/>
          <w:sz w:val="28"/>
          <w:szCs w:val="28"/>
          <w:highlight w:val="none"/>
        </w:rPr>
      </w:pPr>
      <w:r>
        <w:rPr>
          <w:rFonts w:eastAsia="Tahoma"/>
          <w:color w:val="auto"/>
          <w:highlight w:val="none"/>
        </w:rPr>
        <w:br w:type="page"/>
      </w:r>
      <w:bookmarkStart w:id="562" w:name="_Toc14898"/>
      <w:bookmarkStart w:id="563" w:name="_Toc419015768"/>
      <w:r>
        <w:rPr>
          <w:rFonts w:hint="eastAsia" w:ascii="宋体" w:hAnsi="宋体"/>
          <w:b w:val="0"/>
          <w:color w:val="auto"/>
          <w:sz w:val="28"/>
          <w:szCs w:val="28"/>
          <w:highlight w:val="none"/>
        </w:rPr>
        <w:t>一、 响应</w:t>
      </w:r>
      <w:r>
        <w:rPr>
          <w:rFonts w:ascii="宋体" w:hAnsi="宋体"/>
          <w:b w:val="0"/>
          <w:color w:val="auto"/>
          <w:sz w:val="28"/>
          <w:szCs w:val="28"/>
          <w:highlight w:val="none"/>
        </w:rPr>
        <w:t>函</w:t>
      </w:r>
      <w:bookmarkEnd w:id="562"/>
      <w:bookmarkEnd w:id="563"/>
    </w:p>
    <w:p>
      <w:pPr>
        <w:topLinePunct/>
        <w:spacing w:line="360" w:lineRule="auto"/>
        <w:rPr>
          <w:color w:val="auto"/>
          <w:highlight w:val="none"/>
        </w:rPr>
      </w:pPr>
      <w:r>
        <w:rPr>
          <w:rFonts w:hint="eastAsia"/>
          <w:color w:val="auto"/>
          <w:highlight w:val="none"/>
        </w:rPr>
        <w:t>江西省高速电建新能源有限责任公司</w:t>
      </w:r>
      <w:r>
        <w:rPr>
          <w:color w:val="auto"/>
          <w:highlight w:val="none"/>
        </w:rPr>
        <w:t>：</w:t>
      </w:r>
    </w:p>
    <w:p>
      <w:pPr>
        <w:topLinePunct/>
        <w:spacing w:line="360" w:lineRule="auto"/>
        <w:ind w:firstLine="480"/>
        <w:rPr>
          <w:color w:val="auto"/>
          <w:highlight w:val="none"/>
        </w:rPr>
      </w:pPr>
      <w:r>
        <w:rPr>
          <w:color w:val="auto"/>
          <w:highlight w:val="none"/>
        </w:rPr>
        <w:t>1.</w:t>
      </w:r>
      <w:r>
        <w:rPr>
          <w:rFonts w:hint="eastAsia"/>
          <w:color w:val="auto"/>
          <w:highlight w:val="none"/>
        </w:rPr>
        <w:t xml:space="preserve"> </w:t>
      </w:r>
      <w:r>
        <w:rPr>
          <w:color w:val="auto"/>
          <w:highlight w:val="none"/>
        </w:rPr>
        <w:t>经</w:t>
      </w:r>
      <w:r>
        <w:rPr>
          <w:rFonts w:hint="eastAsia"/>
          <w:color w:val="auto"/>
          <w:highlight w:val="none"/>
        </w:rPr>
        <w:t>现场踏勘</w:t>
      </w:r>
      <w:r>
        <w:rPr>
          <w:color w:val="auto"/>
          <w:highlight w:val="none"/>
        </w:rPr>
        <w:t>和研究</w:t>
      </w:r>
      <w:r>
        <w:rPr>
          <w:rFonts w:hint="eastAsia"/>
          <w:color w:val="auto"/>
          <w:highlight w:val="none"/>
          <w:u w:val="single"/>
        </w:rPr>
        <w:t>（项目名称）</w:t>
      </w:r>
      <w:r>
        <w:rPr>
          <w:color w:val="auto"/>
          <w:highlight w:val="none"/>
        </w:rPr>
        <w:t>的</w:t>
      </w:r>
      <w:r>
        <w:rPr>
          <w:rFonts w:hint="eastAsia"/>
          <w:color w:val="auto"/>
          <w:highlight w:val="none"/>
        </w:rPr>
        <w:t>全部内容</w:t>
      </w:r>
      <w:r>
        <w:rPr>
          <w:color w:val="auto"/>
          <w:highlight w:val="none"/>
        </w:rPr>
        <w:t>（含</w:t>
      </w:r>
      <w:r>
        <w:rPr>
          <w:rFonts w:hint="eastAsia"/>
          <w:color w:val="auto"/>
          <w:highlight w:val="none"/>
        </w:rPr>
        <w:t>全部</w:t>
      </w:r>
      <w:r>
        <w:rPr>
          <w:color w:val="auto"/>
          <w:highlight w:val="none"/>
        </w:rPr>
        <w:t>补遗书），</w:t>
      </w:r>
      <w:r>
        <w:rPr>
          <w:rFonts w:ascii="宋体" w:hAnsi="宋体"/>
          <w:color w:val="auto"/>
          <w:szCs w:val="21"/>
          <w:highlight w:val="none"/>
        </w:rPr>
        <w:t>愿意</w:t>
      </w:r>
      <w:r>
        <w:rPr>
          <w:rFonts w:hint="eastAsia" w:ascii="宋体" w:hAnsi="宋体"/>
          <w:color w:val="auto"/>
          <w:szCs w:val="21"/>
          <w:highlight w:val="none"/>
        </w:rPr>
        <w:t>以总报价</w:t>
      </w:r>
      <w:r>
        <w:rPr>
          <w:color w:val="auto"/>
          <w:highlight w:val="none"/>
        </w:rPr>
        <w:t>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元（￥</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w:t>
      </w:r>
      <w:r>
        <w:rPr>
          <w:rFonts w:hint="eastAsia" w:ascii="宋体" w:hAnsi="宋体"/>
          <w:color w:val="auto"/>
          <w:szCs w:val="21"/>
          <w:highlight w:val="none"/>
        </w:rPr>
        <w:t>，总工期</w:t>
      </w:r>
      <w:r>
        <w:rPr>
          <w:rFonts w:hint="eastAsia" w:ascii="宋体" w:hAnsi="宋体"/>
          <w:color w:val="auto"/>
          <w:szCs w:val="21"/>
          <w:highlight w:val="none"/>
          <w:u w:val="single"/>
        </w:rPr>
        <w:t xml:space="preserve">    </w:t>
      </w:r>
      <w:r>
        <w:rPr>
          <w:rFonts w:hint="eastAsia" w:ascii="宋体" w:hAnsi="宋体"/>
          <w:color w:val="auto"/>
          <w:szCs w:val="21"/>
          <w:highlight w:val="none"/>
        </w:rPr>
        <w:t>日，系统质量保证期</w:t>
      </w:r>
      <w:r>
        <w:rPr>
          <w:rFonts w:hint="eastAsia" w:ascii="宋体" w:hAnsi="宋体"/>
          <w:color w:val="auto"/>
          <w:szCs w:val="21"/>
          <w:highlight w:val="none"/>
          <w:u w:val="single"/>
        </w:rPr>
        <w:t xml:space="preserve">    </w:t>
      </w:r>
      <w:r>
        <w:rPr>
          <w:rFonts w:hint="eastAsia" w:ascii="宋体" w:hAnsi="宋体"/>
          <w:color w:val="auto"/>
          <w:szCs w:val="21"/>
          <w:highlight w:val="none"/>
        </w:rPr>
        <w:t>年，按合同约定实施和完成承包工程，修补工程中的任何缺陷，工程质量达到</w:t>
      </w:r>
      <w:r>
        <w:rPr>
          <w:rFonts w:hint="eastAsia" w:ascii="宋体" w:hAnsi="宋体"/>
          <w:color w:val="auto"/>
          <w:szCs w:val="21"/>
          <w:highlight w:val="none"/>
          <w:u w:val="single"/>
        </w:rPr>
        <w:t>合格</w:t>
      </w:r>
      <w:r>
        <w:rPr>
          <w:rFonts w:hint="eastAsia" w:ascii="华文细黑" w:hAnsi="华文细黑"/>
          <w:color w:val="auto"/>
          <w:highlight w:val="none"/>
        </w:rPr>
        <w:t>。</w:t>
      </w:r>
    </w:p>
    <w:p>
      <w:pPr>
        <w:tabs>
          <w:tab w:val="left" w:pos="4680"/>
        </w:tabs>
        <w:spacing w:line="360" w:lineRule="auto"/>
        <w:ind w:firstLine="480" w:firstLineChars="200"/>
        <w:rPr>
          <w:color w:val="auto"/>
          <w:szCs w:val="21"/>
          <w:highlight w:val="none"/>
        </w:rPr>
      </w:pPr>
      <w:r>
        <w:rPr>
          <w:color w:val="auto"/>
          <w:szCs w:val="21"/>
          <w:highlight w:val="none"/>
        </w:rPr>
        <w:t>2．我方承诺在</w:t>
      </w:r>
      <w:r>
        <w:rPr>
          <w:rFonts w:hint="eastAsia"/>
          <w:color w:val="auto"/>
          <w:szCs w:val="21"/>
          <w:highlight w:val="none"/>
        </w:rPr>
        <w:t>响应</w:t>
      </w:r>
      <w:r>
        <w:rPr>
          <w:color w:val="auto"/>
          <w:szCs w:val="21"/>
          <w:highlight w:val="none"/>
        </w:rPr>
        <w:t>有效期内不修改、撤销</w:t>
      </w:r>
      <w:r>
        <w:rPr>
          <w:rFonts w:hint="eastAsia"/>
          <w:color w:val="auto"/>
          <w:szCs w:val="21"/>
          <w:highlight w:val="none"/>
        </w:rPr>
        <w:t>响应</w:t>
      </w:r>
      <w:r>
        <w:rPr>
          <w:color w:val="auto"/>
          <w:szCs w:val="21"/>
          <w:highlight w:val="none"/>
        </w:rPr>
        <w:t>文件。</w:t>
      </w:r>
    </w:p>
    <w:p>
      <w:pPr>
        <w:tabs>
          <w:tab w:val="left" w:pos="4680"/>
        </w:tabs>
        <w:spacing w:line="360" w:lineRule="auto"/>
        <w:ind w:firstLine="480" w:firstLineChars="200"/>
        <w:rPr>
          <w:color w:val="auto"/>
          <w:szCs w:val="21"/>
          <w:highlight w:val="none"/>
        </w:rPr>
      </w:pPr>
      <w:r>
        <w:rPr>
          <w:rFonts w:hint="eastAsia"/>
          <w:color w:val="auto"/>
          <w:szCs w:val="21"/>
          <w:highlight w:val="none"/>
        </w:rPr>
        <w:t>3</w:t>
      </w:r>
      <w:r>
        <w:rPr>
          <w:color w:val="auto"/>
          <w:szCs w:val="21"/>
          <w:highlight w:val="none"/>
        </w:rPr>
        <w:t>．如我方</w:t>
      </w:r>
      <w:r>
        <w:rPr>
          <w:rFonts w:hint="eastAsia"/>
          <w:color w:val="auto"/>
          <w:szCs w:val="21"/>
          <w:highlight w:val="none"/>
        </w:rPr>
        <w:t>成交</w:t>
      </w:r>
      <w:r>
        <w:rPr>
          <w:color w:val="auto"/>
          <w:szCs w:val="21"/>
          <w:highlight w:val="none"/>
        </w:rPr>
        <w:t>：</w:t>
      </w:r>
    </w:p>
    <w:p>
      <w:pPr>
        <w:tabs>
          <w:tab w:val="left" w:pos="4680"/>
        </w:tabs>
        <w:spacing w:line="360" w:lineRule="auto"/>
        <w:ind w:firstLine="480" w:firstLineChars="200"/>
        <w:rPr>
          <w:color w:val="auto"/>
          <w:szCs w:val="21"/>
          <w:highlight w:val="none"/>
        </w:rPr>
      </w:pPr>
      <w:r>
        <w:rPr>
          <w:color w:val="auto"/>
          <w:szCs w:val="21"/>
          <w:highlight w:val="none"/>
        </w:rPr>
        <w:t>（1）我方承诺在收到</w:t>
      </w:r>
      <w:r>
        <w:rPr>
          <w:rFonts w:hint="eastAsia"/>
          <w:color w:val="auto"/>
          <w:szCs w:val="21"/>
          <w:highlight w:val="none"/>
        </w:rPr>
        <w:t>成交</w:t>
      </w:r>
      <w:r>
        <w:rPr>
          <w:color w:val="auto"/>
          <w:szCs w:val="21"/>
          <w:highlight w:val="none"/>
        </w:rPr>
        <w:t>通知书后，在</w:t>
      </w:r>
      <w:r>
        <w:rPr>
          <w:rFonts w:hint="eastAsia"/>
          <w:color w:val="auto"/>
          <w:szCs w:val="21"/>
          <w:highlight w:val="none"/>
        </w:rPr>
        <w:t>成交</w:t>
      </w:r>
      <w:r>
        <w:rPr>
          <w:color w:val="auto"/>
          <w:szCs w:val="21"/>
          <w:highlight w:val="none"/>
        </w:rPr>
        <w:t>通知书规定的期限内与你方签订合同。</w:t>
      </w:r>
    </w:p>
    <w:p>
      <w:pPr>
        <w:tabs>
          <w:tab w:val="left" w:pos="4680"/>
        </w:tabs>
        <w:spacing w:line="360" w:lineRule="auto"/>
        <w:ind w:firstLine="480" w:firstLineChars="200"/>
        <w:rPr>
          <w:color w:val="auto"/>
          <w:szCs w:val="21"/>
          <w:highlight w:val="none"/>
        </w:rPr>
      </w:pPr>
      <w:r>
        <w:rPr>
          <w:rFonts w:hint="eastAsia"/>
          <w:color w:val="auto"/>
          <w:szCs w:val="21"/>
          <w:highlight w:val="none"/>
        </w:rPr>
        <w:t>（2）</w:t>
      </w:r>
      <w:r>
        <w:rPr>
          <w:color w:val="auto"/>
          <w:szCs w:val="21"/>
          <w:highlight w:val="none"/>
        </w:rPr>
        <w:t>我方承诺按照</w:t>
      </w:r>
      <w:r>
        <w:rPr>
          <w:rFonts w:hint="eastAsia"/>
          <w:color w:val="auto"/>
          <w:szCs w:val="21"/>
          <w:highlight w:val="none"/>
        </w:rPr>
        <w:t>采购</w:t>
      </w:r>
      <w:r>
        <w:rPr>
          <w:color w:val="auto"/>
          <w:szCs w:val="21"/>
          <w:highlight w:val="none"/>
        </w:rPr>
        <w:t>文件规定向你方递交履约担保。</w:t>
      </w:r>
    </w:p>
    <w:p>
      <w:pPr>
        <w:tabs>
          <w:tab w:val="left" w:pos="4680"/>
        </w:tabs>
        <w:spacing w:line="360" w:lineRule="auto"/>
        <w:ind w:firstLine="480" w:firstLineChars="200"/>
        <w:rPr>
          <w:color w:val="auto"/>
          <w:szCs w:val="21"/>
          <w:highlight w:val="none"/>
        </w:rPr>
      </w:pPr>
      <w:r>
        <w:rPr>
          <w:color w:val="auto"/>
          <w:szCs w:val="21"/>
          <w:highlight w:val="none"/>
        </w:rPr>
        <w:t>（</w:t>
      </w:r>
      <w:r>
        <w:rPr>
          <w:rFonts w:hint="eastAsia"/>
          <w:color w:val="auto"/>
          <w:szCs w:val="21"/>
          <w:highlight w:val="none"/>
        </w:rPr>
        <w:t>3</w:t>
      </w:r>
      <w:r>
        <w:rPr>
          <w:color w:val="auto"/>
          <w:szCs w:val="21"/>
          <w:highlight w:val="none"/>
        </w:rPr>
        <w:t>）</w:t>
      </w:r>
      <w:r>
        <w:rPr>
          <w:rFonts w:hint="eastAsia" w:ascii="宋体" w:hAnsi="宋体"/>
          <w:color w:val="auto"/>
          <w:highlight w:val="none"/>
        </w:rPr>
        <w:t>我方承诺在合同约定的期限内完成并移交全部合同工程。</w:t>
      </w:r>
    </w:p>
    <w:p>
      <w:pPr>
        <w:topLinePunct/>
        <w:spacing w:line="360" w:lineRule="auto"/>
        <w:ind w:firstLine="480"/>
        <w:rPr>
          <w:color w:val="auto"/>
          <w:highlight w:val="none"/>
        </w:rPr>
      </w:pPr>
      <w:r>
        <w:rPr>
          <w:rFonts w:hint="eastAsia"/>
          <w:color w:val="auto"/>
          <w:highlight w:val="none"/>
        </w:rPr>
        <w:t xml:space="preserve">4. </w:t>
      </w:r>
      <w:r>
        <w:rPr>
          <w:rFonts w:hint="eastAsia"/>
          <w:color w:val="auto"/>
          <w:highlight w:val="none"/>
          <w:lang w:eastAsia="zh-CN"/>
        </w:rPr>
        <w:t>施工负责人</w:t>
      </w:r>
      <w:r>
        <w:rPr>
          <w:rFonts w:hint="eastAsia"/>
          <w:color w:val="auto"/>
          <w:highlight w:val="none"/>
        </w:rPr>
        <w:t>姓名：</w:t>
      </w:r>
      <w:r>
        <w:rPr>
          <w:color w:val="auto"/>
          <w:highlight w:val="none"/>
          <w:u w:val="single"/>
        </w:rPr>
        <w:t xml:space="preserve">       </w:t>
      </w:r>
      <w:r>
        <w:rPr>
          <w:rFonts w:hint="eastAsia"/>
          <w:color w:val="auto"/>
          <w:highlight w:val="none"/>
        </w:rPr>
        <w:t>职称：</w:t>
      </w:r>
      <w:r>
        <w:rPr>
          <w:rFonts w:hint="eastAsia"/>
          <w:color w:val="auto"/>
          <w:highlight w:val="none"/>
          <w:u w:val="single"/>
        </w:rPr>
        <w:t xml:space="preserve">       </w:t>
      </w:r>
      <w:r>
        <w:rPr>
          <w:rFonts w:hint="eastAsia"/>
          <w:color w:val="auto"/>
          <w:highlight w:val="none"/>
        </w:rPr>
        <w:t>。</w:t>
      </w:r>
    </w:p>
    <w:p>
      <w:pPr>
        <w:topLinePunct/>
        <w:spacing w:line="360" w:lineRule="auto"/>
        <w:ind w:firstLine="480"/>
        <w:rPr>
          <w:color w:val="auto"/>
          <w:highlight w:val="none"/>
        </w:rPr>
      </w:pPr>
      <w:r>
        <w:rPr>
          <w:rFonts w:hint="eastAsia"/>
          <w:color w:val="auto"/>
          <w:highlight w:val="none"/>
        </w:rPr>
        <w:t>5</w:t>
      </w:r>
      <w:r>
        <w:rPr>
          <w:color w:val="auto"/>
          <w:highlight w:val="none"/>
        </w:rPr>
        <w:t>. 在合同协议书正式签署生效之前，本</w:t>
      </w:r>
      <w:r>
        <w:rPr>
          <w:rFonts w:hint="eastAsia"/>
          <w:color w:val="auto"/>
          <w:highlight w:val="none"/>
        </w:rPr>
        <w:t>响应</w:t>
      </w:r>
      <w:r>
        <w:rPr>
          <w:color w:val="auto"/>
          <w:highlight w:val="none"/>
        </w:rPr>
        <w:t>函连同你方的</w:t>
      </w:r>
      <w:r>
        <w:rPr>
          <w:rFonts w:hint="eastAsia"/>
          <w:color w:val="auto"/>
          <w:highlight w:val="none"/>
        </w:rPr>
        <w:t>成交</w:t>
      </w:r>
      <w:r>
        <w:rPr>
          <w:color w:val="auto"/>
          <w:highlight w:val="none"/>
        </w:rPr>
        <w:t>通知书将构成我们双方之间共同遵守的文件，对双方具有约束力。</w:t>
      </w:r>
    </w:p>
    <w:p>
      <w:pPr>
        <w:spacing w:line="360" w:lineRule="auto"/>
        <w:ind w:firstLine="480" w:firstLineChars="200"/>
        <w:rPr>
          <w:color w:val="auto"/>
          <w:szCs w:val="21"/>
          <w:highlight w:val="none"/>
        </w:rPr>
      </w:pPr>
      <w:r>
        <w:rPr>
          <w:rFonts w:hint="eastAsia"/>
          <w:color w:val="auto"/>
          <w:szCs w:val="21"/>
          <w:highlight w:val="none"/>
        </w:rPr>
        <w:t>6</w:t>
      </w:r>
      <w:r>
        <w:rPr>
          <w:color w:val="auto"/>
          <w:szCs w:val="21"/>
          <w:highlight w:val="none"/>
        </w:rPr>
        <w:t>．</w:t>
      </w:r>
      <w:r>
        <w:rPr>
          <w:rFonts w:hint="eastAsia" w:ascii="宋体" w:hAnsi="宋体"/>
          <w:color w:val="auto"/>
          <w:szCs w:val="21"/>
          <w:highlight w:val="none"/>
        </w:rPr>
        <w:t>我方理解，你方不一定接受最低标价的响应或你方接到的其它任何响应。同时也理解，你</w:t>
      </w:r>
      <w:r>
        <w:rPr>
          <w:rFonts w:hint="eastAsia"/>
          <w:color w:val="auto"/>
          <w:szCs w:val="21"/>
          <w:highlight w:val="none"/>
        </w:rPr>
        <w:t>方不负担我方的任何采购响应费用。</w:t>
      </w:r>
    </w:p>
    <w:p>
      <w:pPr>
        <w:spacing w:line="360" w:lineRule="auto"/>
        <w:ind w:firstLine="480" w:firstLineChars="200"/>
        <w:rPr>
          <w:color w:val="auto"/>
          <w:szCs w:val="21"/>
          <w:highlight w:val="none"/>
        </w:rPr>
      </w:pPr>
    </w:p>
    <w:p>
      <w:pPr>
        <w:spacing w:line="360" w:lineRule="exact"/>
        <w:ind w:firstLine="480" w:firstLineChars="200"/>
        <w:rPr>
          <w:color w:val="auto"/>
          <w:szCs w:val="21"/>
          <w:highlight w:val="none"/>
        </w:rPr>
      </w:pPr>
      <w:r>
        <w:rPr>
          <w:rFonts w:hint="eastAsia"/>
          <w:color w:val="auto"/>
          <w:szCs w:val="21"/>
          <w:highlight w:val="none"/>
        </w:rPr>
        <w:t xml:space="preserve"> </w:t>
      </w:r>
    </w:p>
    <w:p>
      <w:pPr>
        <w:pStyle w:val="2"/>
        <w:rPr>
          <w:color w:val="auto"/>
          <w:szCs w:val="21"/>
          <w:highlight w:val="none"/>
        </w:rPr>
      </w:pPr>
    </w:p>
    <w:p>
      <w:pPr>
        <w:pStyle w:val="2"/>
        <w:rPr>
          <w:color w:val="auto"/>
          <w:szCs w:val="21"/>
          <w:highlight w:val="none"/>
        </w:rPr>
      </w:pPr>
    </w:p>
    <w:p>
      <w:pPr>
        <w:pStyle w:val="2"/>
        <w:rPr>
          <w:color w:val="auto"/>
          <w:szCs w:val="21"/>
          <w:highlight w:val="none"/>
        </w:rPr>
      </w:pPr>
    </w:p>
    <w:p>
      <w:pPr>
        <w:topLinePunct/>
        <w:spacing w:line="440" w:lineRule="exact"/>
        <w:ind w:left="334" w:firstLine="2604" w:firstLineChars="1085"/>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topLinePunct/>
        <w:spacing w:line="440" w:lineRule="exact"/>
        <w:ind w:firstLine="2940" w:firstLineChars="1225"/>
        <w:rPr>
          <w:color w:val="auto"/>
          <w:highlight w:val="none"/>
        </w:rPr>
      </w:pPr>
      <w:r>
        <w:rPr>
          <w:color w:val="auto"/>
          <w:highlight w:val="none"/>
        </w:rPr>
        <w:t>地址：</w:t>
      </w:r>
      <w:r>
        <w:rPr>
          <w:color w:val="auto"/>
          <w:highlight w:val="none"/>
          <w:u w:val="single"/>
        </w:rPr>
        <w:t xml:space="preserve">                                      </w:t>
      </w:r>
    </w:p>
    <w:p>
      <w:pPr>
        <w:topLinePunct/>
        <w:spacing w:line="440" w:lineRule="exact"/>
        <w:ind w:firstLine="2940" w:firstLineChars="1225"/>
        <w:rPr>
          <w:color w:val="auto"/>
          <w:highlight w:val="none"/>
        </w:rPr>
      </w:pPr>
      <w:r>
        <w:rPr>
          <w:color w:val="auto"/>
          <w:highlight w:val="none"/>
        </w:rPr>
        <w:t>电话：</w:t>
      </w:r>
      <w:r>
        <w:rPr>
          <w:color w:val="auto"/>
          <w:highlight w:val="none"/>
          <w:u w:val="single"/>
        </w:rPr>
        <w:t xml:space="preserve">                                      </w:t>
      </w:r>
    </w:p>
    <w:p>
      <w:pPr>
        <w:topLinePunct/>
        <w:spacing w:line="440" w:lineRule="exact"/>
        <w:ind w:firstLine="4500" w:firstLineChars="1875"/>
        <w:rPr>
          <w:color w:val="auto"/>
          <w:highlight w:val="none"/>
        </w:r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pPr>
        <w:topLinePunct/>
        <w:spacing w:line="440" w:lineRule="exact"/>
        <w:ind w:firstLine="4500" w:firstLineChars="1875"/>
        <w:rPr>
          <w:color w:val="auto"/>
          <w:highlight w:val="none"/>
        </w:rPr>
      </w:pPr>
    </w:p>
    <w:p>
      <w:pPr>
        <w:topLinePunct/>
        <w:spacing w:line="440" w:lineRule="exact"/>
        <w:ind w:firstLine="4500" w:firstLineChars="1875"/>
        <w:rPr>
          <w:color w:val="auto"/>
          <w:highlight w:val="none"/>
        </w:rPr>
      </w:pPr>
      <w:r>
        <w:rPr>
          <w:color w:val="auto"/>
          <w:highlight w:val="none"/>
        </w:rPr>
        <w:br w:type="page"/>
      </w:r>
    </w:p>
    <w:p>
      <w:pPr>
        <w:pStyle w:val="4"/>
        <w:spacing w:before="240" w:after="120" w:line="360" w:lineRule="auto"/>
        <w:rPr>
          <w:rFonts w:ascii="宋体" w:hAnsi="宋体"/>
          <w:b w:val="0"/>
          <w:color w:val="auto"/>
          <w:sz w:val="28"/>
          <w:szCs w:val="28"/>
          <w:highlight w:val="none"/>
        </w:rPr>
      </w:pPr>
      <w:bookmarkStart w:id="564" w:name="_Toc419015769"/>
      <w:bookmarkStart w:id="565" w:name="_Toc6164"/>
      <w:r>
        <w:rPr>
          <w:rFonts w:hint="eastAsia" w:ascii="宋体" w:hAnsi="宋体"/>
          <w:b w:val="0"/>
          <w:color w:val="auto"/>
          <w:sz w:val="28"/>
          <w:szCs w:val="28"/>
          <w:highlight w:val="none"/>
        </w:rPr>
        <w:t>二、</w:t>
      </w:r>
      <w:r>
        <w:rPr>
          <w:rFonts w:ascii="宋体" w:hAnsi="宋体"/>
          <w:b w:val="0"/>
          <w:color w:val="auto"/>
          <w:sz w:val="28"/>
          <w:szCs w:val="28"/>
          <w:highlight w:val="none"/>
        </w:rPr>
        <w:t>法定代表人身份证明</w:t>
      </w:r>
      <w:r>
        <w:rPr>
          <w:rFonts w:hint="eastAsia" w:ascii="宋体" w:hAnsi="宋体"/>
          <w:b w:val="0"/>
          <w:color w:val="auto"/>
          <w:sz w:val="28"/>
          <w:szCs w:val="28"/>
          <w:highlight w:val="none"/>
        </w:rPr>
        <w:t>或法定代表人的</w:t>
      </w:r>
      <w:r>
        <w:rPr>
          <w:rFonts w:ascii="宋体" w:hAnsi="宋体"/>
          <w:b w:val="0"/>
          <w:color w:val="auto"/>
          <w:sz w:val="28"/>
          <w:szCs w:val="28"/>
          <w:highlight w:val="none"/>
        </w:rPr>
        <w:t>授权委托书</w:t>
      </w:r>
      <w:bookmarkEnd w:id="564"/>
      <w:bookmarkEnd w:id="565"/>
    </w:p>
    <w:p>
      <w:pPr>
        <w:spacing w:line="440" w:lineRule="exact"/>
        <w:ind w:firstLine="400"/>
        <w:rPr>
          <w:color w:val="auto"/>
          <w:sz w:val="20"/>
          <w:szCs w:val="20"/>
          <w:highlight w:val="none"/>
        </w:rPr>
      </w:pPr>
    </w:p>
    <w:p>
      <w:pPr>
        <w:spacing w:line="440" w:lineRule="exact"/>
        <w:ind w:firstLine="560"/>
        <w:jc w:val="center"/>
        <w:rPr>
          <w:color w:val="auto"/>
          <w:sz w:val="28"/>
          <w:szCs w:val="28"/>
          <w:highlight w:val="none"/>
        </w:rPr>
      </w:pPr>
      <w:r>
        <w:rPr>
          <w:rFonts w:hint="eastAsia" w:eastAsia="Tahoma"/>
          <w:bCs/>
          <w:color w:val="auto"/>
          <w:sz w:val="28"/>
          <w:szCs w:val="28"/>
          <w:highlight w:val="none"/>
        </w:rPr>
        <w:t>（一）</w:t>
      </w:r>
      <w:r>
        <w:rPr>
          <w:rFonts w:eastAsia="Tahoma"/>
          <w:bCs/>
          <w:color w:val="auto"/>
          <w:sz w:val="28"/>
          <w:szCs w:val="28"/>
          <w:highlight w:val="none"/>
        </w:rPr>
        <w:t>法定代表人身份证明</w:t>
      </w:r>
    </w:p>
    <w:p>
      <w:pPr>
        <w:spacing w:line="440" w:lineRule="exact"/>
        <w:ind w:firstLine="400"/>
        <w:rPr>
          <w:color w:val="auto"/>
          <w:sz w:val="20"/>
          <w:szCs w:val="20"/>
          <w:highlight w:val="none"/>
        </w:rPr>
      </w:pPr>
    </w:p>
    <w:p>
      <w:pPr>
        <w:spacing w:line="640" w:lineRule="exact"/>
        <w:ind w:firstLine="480"/>
        <w:rPr>
          <w:color w:val="auto"/>
          <w:highlight w:val="none"/>
        </w:rPr>
      </w:pPr>
      <w:r>
        <w:rPr>
          <w:rFonts w:hint="eastAsia"/>
          <w:color w:val="auto"/>
          <w:highlight w:val="none"/>
        </w:rPr>
        <w:t>响应人</w:t>
      </w:r>
      <w:r>
        <w:rPr>
          <w:color w:val="auto"/>
          <w:highlight w:val="none"/>
        </w:rPr>
        <w:t>名称：</w:t>
      </w:r>
      <w:r>
        <w:rPr>
          <w:color w:val="auto"/>
          <w:highlight w:val="none"/>
          <w:u w:val="single"/>
        </w:rPr>
        <w:t xml:space="preserve">                            </w:t>
      </w:r>
      <w:r>
        <w:rPr>
          <w:color w:val="auto"/>
          <w:highlight w:val="none"/>
        </w:rPr>
        <w:t xml:space="preserve"> </w:t>
      </w:r>
    </w:p>
    <w:p>
      <w:pPr>
        <w:spacing w:line="640" w:lineRule="exact"/>
        <w:ind w:firstLine="480"/>
        <w:rPr>
          <w:color w:val="auto"/>
          <w:highlight w:val="none"/>
        </w:rPr>
      </w:pPr>
      <w:r>
        <w:rPr>
          <w:color w:val="auto"/>
          <w:highlight w:val="none"/>
        </w:rPr>
        <w:t>单位性质：</w:t>
      </w:r>
      <w:r>
        <w:rPr>
          <w:color w:val="auto"/>
          <w:highlight w:val="none"/>
          <w:u w:val="single"/>
        </w:rPr>
        <w:t xml:space="preserve">                               </w:t>
      </w:r>
      <w:r>
        <w:rPr>
          <w:color w:val="auto"/>
          <w:highlight w:val="none"/>
        </w:rPr>
        <w:t xml:space="preserve"> </w:t>
      </w:r>
    </w:p>
    <w:p>
      <w:pPr>
        <w:spacing w:line="640" w:lineRule="exact"/>
        <w:ind w:firstLine="480"/>
        <w:rPr>
          <w:color w:val="auto"/>
          <w:highlight w:val="none"/>
        </w:rPr>
      </w:pPr>
      <w:r>
        <w:rPr>
          <w:color w:val="auto"/>
          <w:highlight w:val="none"/>
        </w:rPr>
        <w:t>地址：</w:t>
      </w:r>
      <w:r>
        <w:rPr>
          <w:color w:val="auto"/>
          <w:highlight w:val="none"/>
          <w:u w:val="single"/>
        </w:rPr>
        <w:t xml:space="preserve">                                   </w:t>
      </w:r>
    </w:p>
    <w:p>
      <w:pPr>
        <w:spacing w:line="640" w:lineRule="exact"/>
        <w:ind w:firstLine="480"/>
        <w:rPr>
          <w:color w:val="auto"/>
          <w:highlight w:val="none"/>
        </w:rPr>
      </w:pPr>
      <w:r>
        <w:rPr>
          <w:color w:val="auto"/>
          <w:highlight w:val="none"/>
        </w:rPr>
        <w:t>成立时间：</w:t>
      </w:r>
      <w:r>
        <w:rPr>
          <w:color w:val="auto"/>
          <w:highlight w:val="none"/>
          <w:u w:val="single"/>
        </w:rPr>
        <w:t xml:space="preserve">         </w:t>
      </w:r>
      <w:r>
        <w:rPr>
          <w:color w:val="auto"/>
          <w:highlight w:val="none"/>
        </w:rPr>
        <w:t xml:space="preserve"> 年</w:t>
      </w:r>
      <w:r>
        <w:rPr>
          <w:color w:val="auto"/>
          <w:highlight w:val="none"/>
          <w:u w:val="single"/>
        </w:rPr>
        <w:t xml:space="preserve">       </w:t>
      </w:r>
      <w:r>
        <w:rPr>
          <w:color w:val="auto"/>
          <w:highlight w:val="none"/>
        </w:rPr>
        <w:t xml:space="preserve"> 月</w:t>
      </w:r>
      <w:r>
        <w:rPr>
          <w:color w:val="auto"/>
          <w:highlight w:val="none"/>
          <w:u w:val="single"/>
        </w:rPr>
        <w:t xml:space="preserve">       </w:t>
      </w:r>
      <w:r>
        <w:rPr>
          <w:color w:val="auto"/>
          <w:highlight w:val="none"/>
        </w:rPr>
        <w:t xml:space="preserve"> 日</w:t>
      </w:r>
    </w:p>
    <w:p>
      <w:pPr>
        <w:spacing w:line="640" w:lineRule="exact"/>
        <w:ind w:firstLine="480"/>
        <w:rPr>
          <w:color w:val="auto"/>
          <w:highlight w:val="none"/>
        </w:rPr>
      </w:pPr>
      <w:r>
        <w:rPr>
          <w:color w:val="auto"/>
          <w:highlight w:val="none"/>
        </w:rPr>
        <w:t>姓名：</w:t>
      </w:r>
      <w:r>
        <w:rPr>
          <w:color w:val="auto"/>
          <w:highlight w:val="none"/>
          <w:u w:val="single"/>
        </w:rPr>
        <w:t xml:space="preserve">  </w:t>
      </w:r>
      <w:r>
        <w:rPr>
          <w:bCs/>
          <w:color w:val="auto"/>
          <w:highlight w:val="none"/>
          <w:u w:val="single"/>
        </w:rPr>
        <w:t>（法定代表人签字）</w:t>
      </w:r>
      <w:r>
        <w:rPr>
          <w:color w:val="auto"/>
          <w:highlight w:val="none"/>
          <w:u w:val="single"/>
        </w:rPr>
        <w:t xml:space="preserve"> </w:t>
      </w:r>
      <w:r>
        <w:rPr>
          <w:color w:val="auto"/>
          <w:highlight w:val="none"/>
        </w:rPr>
        <w:t xml:space="preserve"> 性别：</w:t>
      </w:r>
      <w:r>
        <w:rPr>
          <w:color w:val="auto"/>
          <w:highlight w:val="none"/>
          <w:u w:val="single"/>
        </w:rPr>
        <w:t xml:space="preserve">     </w:t>
      </w:r>
      <w:r>
        <w:rPr>
          <w:color w:val="auto"/>
          <w:highlight w:val="none"/>
        </w:rPr>
        <w:t xml:space="preserve"> 年龄：</w:t>
      </w:r>
      <w:r>
        <w:rPr>
          <w:color w:val="auto"/>
          <w:highlight w:val="none"/>
          <w:u w:val="single"/>
        </w:rPr>
        <w:t xml:space="preserve">        </w:t>
      </w:r>
      <w:r>
        <w:rPr>
          <w:color w:val="auto"/>
          <w:highlight w:val="none"/>
        </w:rPr>
        <w:t>职务：</w:t>
      </w:r>
      <w:r>
        <w:rPr>
          <w:color w:val="auto"/>
          <w:highlight w:val="none"/>
          <w:u w:val="single"/>
        </w:rPr>
        <w:t xml:space="preserve">       </w:t>
      </w:r>
    </w:p>
    <w:p>
      <w:pPr>
        <w:spacing w:line="640" w:lineRule="exact"/>
        <w:ind w:firstLine="480"/>
        <w:rPr>
          <w:color w:val="auto"/>
          <w:highlight w:val="none"/>
        </w:rPr>
      </w:pPr>
      <w:r>
        <w:rPr>
          <w:color w:val="auto"/>
          <w:highlight w:val="none"/>
        </w:rPr>
        <w:t>系</w:t>
      </w:r>
      <w:r>
        <w:rPr>
          <w:color w:val="auto"/>
          <w:highlight w:val="none"/>
          <w:u w:val="single"/>
        </w:rPr>
        <w:t xml:space="preserve">                             </w:t>
      </w:r>
      <w:r>
        <w:rPr>
          <w:color w:val="auto"/>
          <w:highlight w:val="none"/>
        </w:rPr>
        <w:t xml:space="preserve"> （</w:t>
      </w:r>
      <w:r>
        <w:rPr>
          <w:rFonts w:hint="eastAsia"/>
          <w:color w:val="auto"/>
          <w:highlight w:val="none"/>
        </w:rPr>
        <w:t>响应人</w:t>
      </w:r>
      <w:r>
        <w:rPr>
          <w:color w:val="auto"/>
          <w:highlight w:val="none"/>
        </w:rPr>
        <w:t>名称）的法定代表人。</w:t>
      </w:r>
    </w:p>
    <w:p>
      <w:pPr>
        <w:spacing w:line="640" w:lineRule="exact"/>
        <w:ind w:firstLine="480"/>
        <w:rPr>
          <w:color w:val="auto"/>
          <w:highlight w:val="none"/>
        </w:rPr>
      </w:pPr>
      <w:r>
        <w:rPr>
          <w:color w:val="auto"/>
          <w:highlight w:val="none"/>
        </w:rPr>
        <w:t>特此证明。</w:t>
      </w:r>
    </w:p>
    <w:p>
      <w:pPr>
        <w:spacing w:line="440" w:lineRule="exact"/>
        <w:ind w:firstLine="480"/>
        <w:rPr>
          <w:color w:val="auto"/>
          <w:highlight w:val="none"/>
        </w:rPr>
      </w:pPr>
    </w:p>
    <w:p>
      <w:pPr>
        <w:spacing w:line="440" w:lineRule="exact"/>
        <w:ind w:firstLine="480"/>
        <w:rPr>
          <w:color w:val="auto"/>
          <w:highlight w:val="none"/>
        </w:rPr>
      </w:pPr>
    </w:p>
    <w:p>
      <w:pPr>
        <w:spacing w:line="440" w:lineRule="exact"/>
        <w:ind w:firstLine="480"/>
        <w:rPr>
          <w:color w:val="auto"/>
          <w:highlight w:val="none"/>
        </w:rPr>
      </w:pPr>
      <w:r>
        <w:rPr>
          <w:color w:val="auto"/>
          <w:highlight w:val="none"/>
        </w:rPr>
        <w:t xml:space="preserve">                          </w:t>
      </w: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spacing w:line="440" w:lineRule="exact"/>
        <w:ind w:firstLine="480"/>
        <w:rPr>
          <w:color w:val="auto"/>
          <w:highlight w:val="none"/>
        </w:rPr>
      </w:pPr>
      <w:r>
        <w:rPr>
          <w:color w:val="auto"/>
          <w:highlight w:val="none"/>
        </w:rPr>
        <w:t xml:space="preserve">                        </w:t>
      </w:r>
      <w:r>
        <w:rPr>
          <w:rFonts w:hint="eastAsia"/>
          <w:color w:val="auto"/>
          <w:highlight w:val="none"/>
        </w:rPr>
        <w:t xml:space="preserve">   </w:t>
      </w:r>
      <w:r>
        <w:rPr>
          <w:color w:val="auto"/>
          <w:highlight w:val="none"/>
        </w:rPr>
        <w:t xml:space="preserve">        </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 xml:space="preserve"> 日 </w:t>
      </w:r>
    </w:p>
    <w:p>
      <w:pPr>
        <w:topLinePunct/>
        <w:spacing w:line="440" w:lineRule="exact"/>
        <w:ind w:firstLine="480"/>
        <w:rPr>
          <w:rFonts w:eastAsia="Tahoma"/>
          <w:color w:val="auto"/>
          <w:highlight w:val="none"/>
        </w:rPr>
      </w:pPr>
    </w:p>
    <w:p>
      <w:pPr>
        <w:topLinePunct/>
        <w:spacing w:line="440" w:lineRule="exact"/>
        <w:ind w:firstLine="480"/>
        <w:rPr>
          <w:color w:val="auto"/>
          <w:highlight w:val="none"/>
        </w:rPr>
      </w:pPr>
    </w:p>
    <w:p>
      <w:pPr>
        <w:topLinePunct/>
        <w:spacing w:line="440" w:lineRule="exact"/>
        <w:ind w:firstLine="480"/>
        <w:rPr>
          <w:color w:val="auto"/>
          <w:highlight w:val="none"/>
        </w:rPr>
      </w:pPr>
    </w:p>
    <w:p>
      <w:pPr>
        <w:topLinePunct/>
        <w:spacing w:line="440" w:lineRule="exact"/>
        <w:ind w:firstLine="480"/>
        <w:rPr>
          <w:color w:val="auto"/>
          <w:highlight w:val="none"/>
        </w:rPr>
      </w:pPr>
    </w:p>
    <w:p>
      <w:pPr>
        <w:topLinePunct/>
        <w:spacing w:line="440" w:lineRule="exact"/>
        <w:ind w:firstLine="480"/>
        <w:rPr>
          <w:color w:val="auto"/>
          <w:highlight w:val="none"/>
        </w:rPr>
      </w:pPr>
    </w:p>
    <w:p>
      <w:pPr>
        <w:pStyle w:val="50"/>
        <w:rPr>
          <w:b/>
          <w:color w:val="auto"/>
          <w:kern w:val="2"/>
          <w:sz w:val="21"/>
          <w:szCs w:val="21"/>
          <w:highlight w:val="none"/>
        </w:rPr>
      </w:pPr>
      <w:r>
        <w:rPr>
          <w:b/>
          <w:color w:val="auto"/>
          <w:kern w:val="2"/>
          <w:sz w:val="21"/>
          <w:szCs w:val="21"/>
          <w:highlight w:val="none"/>
        </w:rPr>
        <w:t>注：</w:t>
      </w:r>
    </w:p>
    <w:p>
      <w:pPr>
        <w:pStyle w:val="50"/>
        <w:spacing w:line="360" w:lineRule="auto"/>
        <w:ind w:firstLine="316" w:firstLineChars="150"/>
        <w:rPr>
          <w:b/>
          <w:color w:val="auto"/>
          <w:sz w:val="21"/>
          <w:szCs w:val="21"/>
          <w:highlight w:val="none"/>
        </w:rPr>
      </w:pPr>
      <w:r>
        <w:rPr>
          <w:rFonts w:hint="eastAsia"/>
          <w:b/>
          <w:color w:val="auto"/>
          <w:sz w:val="21"/>
          <w:szCs w:val="21"/>
          <w:highlight w:val="none"/>
        </w:rPr>
        <w:t>1、</w:t>
      </w:r>
      <w:r>
        <w:rPr>
          <w:b/>
          <w:color w:val="auto"/>
          <w:sz w:val="21"/>
          <w:szCs w:val="21"/>
          <w:highlight w:val="none"/>
        </w:rPr>
        <w:t>法定代表人的签字必须是亲笔签名，不得使用印章、签名章或其他电子制版签名</w:t>
      </w:r>
      <w:r>
        <w:rPr>
          <w:rFonts w:hint="eastAsia"/>
          <w:b/>
          <w:color w:val="auto"/>
          <w:sz w:val="21"/>
          <w:szCs w:val="21"/>
          <w:highlight w:val="none"/>
        </w:rPr>
        <w:t>代替。</w:t>
      </w:r>
    </w:p>
    <w:p>
      <w:pPr>
        <w:pStyle w:val="50"/>
        <w:spacing w:line="360" w:lineRule="auto"/>
        <w:rPr>
          <w:rFonts w:eastAsia="Tahoma"/>
          <w:b/>
          <w:color w:val="auto"/>
          <w:sz w:val="21"/>
          <w:szCs w:val="21"/>
          <w:highlight w:val="none"/>
        </w:rPr>
      </w:pPr>
      <w:r>
        <w:rPr>
          <w:rFonts w:hint="eastAsia"/>
          <w:b/>
          <w:color w:val="auto"/>
          <w:sz w:val="21"/>
          <w:szCs w:val="21"/>
          <w:highlight w:val="none"/>
        </w:rPr>
        <w:t xml:space="preserve">   2、应附法定代表人身份证的扫描件。</w:t>
      </w:r>
    </w:p>
    <w:p>
      <w:pPr>
        <w:spacing w:line="440" w:lineRule="exact"/>
        <w:ind w:firstLine="480"/>
        <w:jc w:val="center"/>
        <w:rPr>
          <w:rFonts w:eastAsia="Tahoma"/>
          <w:color w:val="auto"/>
          <w:szCs w:val="21"/>
          <w:highlight w:val="none"/>
        </w:rPr>
      </w:pPr>
      <w:r>
        <w:rPr>
          <w:rFonts w:eastAsia="Tahoma"/>
          <w:color w:val="auto"/>
          <w:highlight w:val="none"/>
        </w:rPr>
        <w:br w:type="page"/>
      </w:r>
    </w:p>
    <w:p>
      <w:pPr>
        <w:numPr>
          <w:ilvl w:val="0"/>
          <w:numId w:val="5"/>
        </w:numPr>
        <w:spacing w:line="440" w:lineRule="exact"/>
        <w:ind w:firstLine="560"/>
        <w:jc w:val="center"/>
        <w:rPr>
          <w:color w:val="auto"/>
          <w:highlight w:val="none"/>
        </w:rPr>
      </w:pPr>
      <w:r>
        <w:rPr>
          <w:rFonts w:eastAsia="Tahoma"/>
          <w:color w:val="auto"/>
          <w:sz w:val="28"/>
          <w:szCs w:val="28"/>
          <w:highlight w:val="none"/>
        </w:rPr>
        <w:t>授权委托书</w:t>
      </w:r>
      <w:r>
        <w:rPr>
          <w:rFonts w:hint="eastAsia"/>
          <w:color w:val="auto"/>
          <w:sz w:val="20"/>
          <w:szCs w:val="20"/>
          <w:highlight w:val="none"/>
        </w:rPr>
        <w:t>（如有）</w:t>
      </w:r>
    </w:p>
    <w:p>
      <w:pPr>
        <w:spacing w:line="440" w:lineRule="exact"/>
        <w:ind w:firstLine="360"/>
        <w:rPr>
          <w:rFonts w:eastAsia="Tahoma"/>
          <w:color w:val="auto"/>
          <w:sz w:val="18"/>
          <w:szCs w:val="18"/>
          <w:highlight w:val="none"/>
        </w:rPr>
      </w:pPr>
    </w:p>
    <w:p>
      <w:pPr>
        <w:topLinePunct/>
        <w:spacing w:line="640" w:lineRule="exact"/>
        <w:ind w:firstLine="480"/>
        <w:rPr>
          <w:color w:val="auto"/>
          <w:highlight w:val="none"/>
        </w:rPr>
      </w:pPr>
      <w:r>
        <w:rPr>
          <w:color w:val="auto"/>
          <w:highlight w:val="none"/>
        </w:rPr>
        <w:t>本人</w:t>
      </w:r>
      <w:r>
        <w:rPr>
          <w:color w:val="auto"/>
          <w:highlight w:val="none"/>
          <w:u w:val="single"/>
        </w:rPr>
        <w:t xml:space="preserve">       </w:t>
      </w:r>
      <w:r>
        <w:rPr>
          <w:color w:val="auto"/>
          <w:highlight w:val="none"/>
        </w:rPr>
        <w:t>（姓名）系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w:t>
      </w:r>
      <w:r>
        <w:rPr>
          <w:rFonts w:hint="eastAsia"/>
          <w:color w:val="auto"/>
          <w:highlight w:val="none"/>
        </w:rPr>
        <w:t>响应人</w:t>
      </w:r>
      <w:r>
        <w:rPr>
          <w:color w:val="auto"/>
          <w:highlight w:val="none"/>
        </w:rPr>
        <w:t>名称）的法定代表人，现委托</w:t>
      </w:r>
      <w:r>
        <w:rPr>
          <w:color w:val="auto"/>
          <w:highlight w:val="none"/>
          <w:u w:val="single"/>
        </w:rPr>
        <w:t xml:space="preserve">        </w:t>
      </w:r>
      <w:r>
        <w:rPr>
          <w:color w:val="auto"/>
          <w:highlight w:val="none"/>
        </w:rPr>
        <w:t>（姓名）为我方代理人。代理人根据授权，以我方名义签署、澄清、说明、补正、递交、撤回、修改</w:t>
      </w:r>
      <w:r>
        <w:rPr>
          <w:rFonts w:hint="eastAsia"/>
          <w:color w:val="auto"/>
          <w:highlight w:val="none"/>
          <w:u w:val="single"/>
        </w:rPr>
        <w:t xml:space="preserve">   （项目名称）</w:t>
      </w:r>
      <w:r>
        <w:rPr>
          <w:rFonts w:hint="eastAsia"/>
          <w:color w:val="auto"/>
          <w:highlight w:val="none"/>
        </w:rPr>
        <w:t>响应</w:t>
      </w:r>
      <w:r>
        <w:rPr>
          <w:color w:val="auto"/>
          <w:highlight w:val="none"/>
        </w:rPr>
        <w:t>文件、签订合同和处理有关事宜，其法律后果由我方承担。</w:t>
      </w:r>
    </w:p>
    <w:p>
      <w:pPr>
        <w:spacing w:line="640" w:lineRule="exact"/>
        <w:ind w:firstLine="480"/>
        <w:rPr>
          <w:color w:val="auto"/>
          <w:highlight w:val="none"/>
        </w:rPr>
      </w:pPr>
      <w:r>
        <w:rPr>
          <w:color w:val="auto"/>
          <w:highlight w:val="none"/>
        </w:rPr>
        <w:t>委托期限：</w:t>
      </w:r>
      <w:r>
        <w:rPr>
          <w:rFonts w:hint="eastAsia"/>
          <w:color w:val="auto"/>
          <w:highlight w:val="none"/>
          <w:u w:val="single"/>
        </w:rPr>
        <w:t>自本委托书签署之日起至响应有效期满</w:t>
      </w:r>
      <w:r>
        <w:rPr>
          <w:color w:val="auto"/>
          <w:highlight w:val="none"/>
        </w:rPr>
        <w:t>。</w:t>
      </w:r>
    </w:p>
    <w:p>
      <w:pPr>
        <w:spacing w:line="640" w:lineRule="exact"/>
        <w:ind w:firstLine="480"/>
        <w:rPr>
          <w:color w:val="auto"/>
          <w:highlight w:val="none"/>
        </w:rPr>
      </w:pPr>
      <w:r>
        <w:rPr>
          <w:color w:val="auto"/>
          <w:highlight w:val="none"/>
        </w:rPr>
        <w:t>代理人无转委托权。</w:t>
      </w:r>
    </w:p>
    <w:p>
      <w:pPr>
        <w:spacing w:line="440" w:lineRule="exact"/>
        <w:ind w:firstLine="480"/>
        <w:rPr>
          <w:color w:val="auto"/>
          <w:highlight w:val="none"/>
        </w:rPr>
      </w:pPr>
    </w:p>
    <w:p>
      <w:pPr>
        <w:topLinePunct/>
        <w:spacing w:line="380" w:lineRule="atLeast"/>
        <w:ind w:firstLine="3290" w:firstLineChars="1371"/>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380" w:lineRule="atLeast"/>
        <w:ind w:firstLine="3290" w:firstLineChars="1371"/>
        <w:rPr>
          <w:color w:val="auto"/>
          <w:highlight w:val="none"/>
        </w:rPr>
      </w:pPr>
    </w:p>
    <w:p>
      <w:pPr>
        <w:topLinePunct/>
        <w:spacing w:line="380" w:lineRule="atLeast"/>
        <w:ind w:firstLine="3290" w:firstLineChars="1371"/>
        <w:rPr>
          <w:color w:val="auto"/>
          <w:highlight w:val="none"/>
        </w:rPr>
      </w:pPr>
      <w:r>
        <w:rPr>
          <w:color w:val="auto"/>
          <w:highlight w:val="none"/>
        </w:rPr>
        <w:t>法定代表人：</w:t>
      </w:r>
      <w:r>
        <w:rPr>
          <w:color w:val="auto"/>
          <w:highlight w:val="none"/>
          <w:u w:val="single"/>
        </w:rPr>
        <w:t xml:space="preserve">                       </w:t>
      </w:r>
      <w:r>
        <w:rPr>
          <w:color w:val="auto"/>
          <w:highlight w:val="none"/>
        </w:rPr>
        <w:t>（签字）</w:t>
      </w:r>
    </w:p>
    <w:p>
      <w:pPr>
        <w:topLinePunct/>
        <w:spacing w:line="380" w:lineRule="atLeast"/>
        <w:ind w:firstLine="3290" w:firstLineChars="1371"/>
        <w:rPr>
          <w:color w:val="auto"/>
          <w:highlight w:val="none"/>
        </w:rPr>
      </w:pPr>
    </w:p>
    <w:p>
      <w:pPr>
        <w:topLinePunct/>
        <w:spacing w:line="380" w:lineRule="atLeast"/>
        <w:ind w:firstLine="3290" w:firstLineChars="1371"/>
        <w:rPr>
          <w:color w:val="auto"/>
          <w:highlight w:val="none"/>
          <w:u w:val="single"/>
        </w:rPr>
      </w:pPr>
      <w:r>
        <w:rPr>
          <w:color w:val="auto"/>
          <w:highlight w:val="none"/>
        </w:rPr>
        <w:t>身份证号码：</w:t>
      </w:r>
      <w:r>
        <w:rPr>
          <w:color w:val="auto"/>
          <w:highlight w:val="none"/>
          <w:u w:val="single"/>
        </w:rPr>
        <w:t xml:space="preserve">                            </w:t>
      </w:r>
    </w:p>
    <w:p>
      <w:pPr>
        <w:topLinePunct/>
        <w:spacing w:line="380" w:lineRule="atLeast"/>
        <w:ind w:firstLine="3290" w:firstLineChars="1371"/>
        <w:rPr>
          <w:color w:val="auto"/>
          <w:highlight w:val="none"/>
        </w:rPr>
      </w:pPr>
    </w:p>
    <w:p>
      <w:pPr>
        <w:topLinePunct/>
        <w:spacing w:line="380" w:lineRule="atLeast"/>
        <w:ind w:firstLine="3290" w:firstLineChars="1371"/>
        <w:rPr>
          <w:color w:val="auto"/>
          <w:highlight w:val="none"/>
        </w:rPr>
      </w:pPr>
      <w:r>
        <w:rPr>
          <w:color w:val="auto"/>
          <w:highlight w:val="none"/>
        </w:rPr>
        <w:t>委托代理人：</w:t>
      </w:r>
      <w:r>
        <w:rPr>
          <w:color w:val="auto"/>
          <w:highlight w:val="none"/>
          <w:u w:val="single"/>
        </w:rPr>
        <w:t xml:space="preserve">                        </w:t>
      </w:r>
      <w:r>
        <w:rPr>
          <w:color w:val="auto"/>
          <w:highlight w:val="none"/>
        </w:rPr>
        <w:t xml:space="preserve">（签字）   </w:t>
      </w:r>
    </w:p>
    <w:p>
      <w:pPr>
        <w:topLinePunct/>
        <w:spacing w:line="380" w:lineRule="atLeast"/>
        <w:ind w:left="2699" w:firstLine="3290" w:firstLineChars="1371"/>
        <w:rPr>
          <w:color w:val="auto"/>
          <w:highlight w:val="none"/>
        </w:rPr>
      </w:pPr>
      <w:r>
        <w:rPr>
          <w:color w:val="auto"/>
          <w:highlight w:val="none"/>
        </w:rPr>
        <w:t xml:space="preserve">    </w:t>
      </w:r>
    </w:p>
    <w:p>
      <w:pPr>
        <w:topLinePunct/>
        <w:spacing w:line="380" w:lineRule="atLeast"/>
        <w:ind w:firstLine="3290" w:firstLineChars="1371"/>
        <w:rPr>
          <w:color w:val="auto"/>
          <w:highlight w:val="none"/>
          <w:u w:val="single"/>
        </w:rPr>
      </w:pPr>
      <w:r>
        <w:rPr>
          <w:color w:val="auto"/>
          <w:highlight w:val="none"/>
        </w:rPr>
        <w:t>身份证号码：</w:t>
      </w:r>
      <w:r>
        <w:rPr>
          <w:color w:val="auto"/>
          <w:highlight w:val="none"/>
          <w:u w:val="single"/>
        </w:rPr>
        <w:t xml:space="preserve">                            </w:t>
      </w:r>
    </w:p>
    <w:p>
      <w:pPr>
        <w:topLinePunct/>
        <w:spacing w:line="380" w:lineRule="atLeast"/>
        <w:ind w:firstLine="3290" w:firstLineChars="1371"/>
        <w:rPr>
          <w:color w:val="auto"/>
          <w:highlight w:val="none"/>
        </w:rPr>
      </w:pPr>
    </w:p>
    <w:p>
      <w:pPr>
        <w:topLinePunct/>
        <w:spacing w:line="380" w:lineRule="atLeast"/>
        <w:ind w:left="478" w:leftChars="199" w:firstLine="3720" w:firstLineChars="1550"/>
        <w:jc w:val="left"/>
        <w:rPr>
          <w:color w:val="auto"/>
          <w:highlight w:val="none"/>
        </w:rPr>
      </w:pPr>
      <w:r>
        <w:rPr>
          <w:color w:val="auto"/>
          <w:highlight w:val="none"/>
          <w:u w:val="single"/>
        </w:rPr>
        <w:t xml:space="preserve">       </w:t>
      </w:r>
      <w:r>
        <w:rPr>
          <w:color w:val="auto"/>
          <w:highlight w:val="none"/>
        </w:rPr>
        <w:t xml:space="preserve">年 </w:t>
      </w:r>
      <w:r>
        <w:rPr>
          <w:color w:val="auto"/>
          <w:highlight w:val="none"/>
          <w:u w:val="single"/>
        </w:rPr>
        <w:t xml:space="preserve">        </w:t>
      </w:r>
      <w:r>
        <w:rPr>
          <w:color w:val="auto"/>
          <w:highlight w:val="none"/>
        </w:rPr>
        <w:t xml:space="preserve">月 </w:t>
      </w:r>
      <w:r>
        <w:rPr>
          <w:color w:val="auto"/>
          <w:highlight w:val="none"/>
          <w:u w:val="single"/>
        </w:rPr>
        <w:t xml:space="preserve">      </w:t>
      </w:r>
      <w:r>
        <w:rPr>
          <w:color w:val="auto"/>
          <w:highlight w:val="none"/>
        </w:rPr>
        <w:t xml:space="preserve"> 日</w:t>
      </w:r>
    </w:p>
    <w:p>
      <w:pPr>
        <w:spacing w:line="440" w:lineRule="exact"/>
        <w:ind w:firstLine="480"/>
        <w:rPr>
          <w:color w:val="auto"/>
          <w:highlight w:val="none"/>
        </w:rPr>
      </w:pPr>
      <w:r>
        <w:rPr>
          <w:rFonts w:eastAsia="Tahoma"/>
          <w:color w:val="auto"/>
          <w:highlight w:val="none"/>
        </w:rPr>
        <w:t xml:space="preserve"> </w:t>
      </w:r>
    </w:p>
    <w:p>
      <w:pPr>
        <w:spacing w:line="440" w:lineRule="exact"/>
        <w:ind w:firstLine="480"/>
        <w:rPr>
          <w:color w:val="auto"/>
          <w:highlight w:val="none"/>
        </w:rPr>
      </w:pPr>
    </w:p>
    <w:p>
      <w:pPr>
        <w:spacing w:line="440" w:lineRule="exact"/>
        <w:ind w:firstLine="480"/>
        <w:rPr>
          <w:color w:val="auto"/>
          <w:highlight w:val="none"/>
        </w:rPr>
      </w:pPr>
    </w:p>
    <w:p>
      <w:pPr>
        <w:spacing w:line="440" w:lineRule="exact"/>
        <w:ind w:firstLine="480"/>
        <w:rPr>
          <w:color w:val="auto"/>
          <w:highlight w:val="none"/>
        </w:rPr>
      </w:pPr>
    </w:p>
    <w:p>
      <w:pPr>
        <w:pStyle w:val="50"/>
        <w:rPr>
          <w:b/>
          <w:color w:val="auto"/>
          <w:kern w:val="2"/>
          <w:sz w:val="21"/>
          <w:szCs w:val="21"/>
          <w:highlight w:val="none"/>
        </w:rPr>
      </w:pPr>
      <w:r>
        <w:rPr>
          <w:b/>
          <w:color w:val="auto"/>
          <w:kern w:val="2"/>
          <w:sz w:val="21"/>
          <w:szCs w:val="21"/>
          <w:highlight w:val="none"/>
        </w:rPr>
        <w:t>注：</w:t>
      </w:r>
    </w:p>
    <w:p>
      <w:pPr>
        <w:spacing w:line="360" w:lineRule="auto"/>
        <w:ind w:firstLine="420"/>
        <w:rPr>
          <w:b/>
          <w:color w:val="auto"/>
          <w:kern w:val="0"/>
          <w:sz w:val="21"/>
          <w:szCs w:val="21"/>
          <w:highlight w:val="none"/>
        </w:rPr>
      </w:pPr>
      <w:r>
        <w:rPr>
          <w:rFonts w:hint="eastAsia"/>
          <w:b/>
          <w:color w:val="auto"/>
          <w:kern w:val="0"/>
          <w:sz w:val="21"/>
          <w:szCs w:val="21"/>
          <w:highlight w:val="none"/>
        </w:rPr>
        <w:t>1.法定代表人和委托代理人必须在授权委托书上亲笔签名，不得使用印章、签名章或其他电子制版签名代替。</w:t>
      </w:r>
    </w:p>
    <w:p>
      <w:pPr>
        <w:pStyle w:val="50"/>
        <w:spacing w:line="360" w:lineRule="auto"/>
        <w:rPr>
          <w:color w:val="auto"/>
          <w:szCs w:val="21"/>
          <w:highlight w:val="none"/>
        </w:rPr>
      </w:pPr>
      <w:r>
        <w:rPr>
          <w:rFonts w:hint="eastAsia"/>
          <w:b/>
          <w:color w:val="auto"/>
          <w:sz w:val="21"/>
          <w:szCs w:val="21"/>
          <w:highlight w:val="none"/>
        </w:rPr>
        <w:t xml:space="preserve">   2、应附法定代表人和委托代理人的身份证的扫描件。</w:t>
      </w:r>
    </w:p>
    <w:p>
      <w:pPr>
        <w:ind w:firstLine="480"/>
        <w:rPr>
          <w:color w:val="auto"/>
          <w:highlight w:val="none"/>
        </w:rPr>
      </w:pPr>
      <w:r>
        <w:rPr>
          <w:color w:val="auto"/>
          <w:highlight w:val="none"/>
        </w:rPr>
        <w:br w:type="page"/>
      </w:r>
    </w:p>
    <w:p>
      <w:pPr>
        <w:pStyle w:val="4"/>
        <w:spacing w:before="240" w:after="120" w:line="360" w:lineRule="auto"/>
        <w:rPr>
          <w:rFonts w:ascii="宋体" w:hAnsi="宋体"/>
          <w:b w:val="0"/>
          <w:color w:val="auto"/>
          <w:sz w:val="28"/>
          <w:szCs w:val="28"/>
          <w:highlight w:val="none"/>
        </w:rPr>
      </w:pPr>
      <w:bookmarkStart w:id="566" w:name="_Toc14877"/>
      <w:bookmarkStart w:id="567" w:name="_Toc419015771"/>
      <w:r>
        <w:rPr>
          <w:rFonts w:hint="eastAsia" w:ascii="宋体" w:hAnsi="宋体"/>
          <w:b w:val="0"/>
          <w:color w:val="auto"/>
          <w:sz w:val="28"/>
          <w:szCs w:val="28"/>
          <w:highlight w:val="none"/>
        </w:rPr>
        <w:t>三</w:t>
      </w:r>
      <w:r>
        <w:rPr>
          <w:rFonts w:ascii="宋体" w:hAnsi="宋体"/>
          <w:b w:val="0"/>
          <w:color w:val="auto"/>
          <w:sz w:val="28"/>
          <w:szCs w:val="28"/>
          <w:highlight w:val="none"/>
        </w:rPr>
        <w:t>、资格审查</w:t>
      </w:r>
      <w:r>
        <w:rPr>
          <w:rFonts w:hint="eastAsia" w:ascii="宋体" w:hAnsi="宋体"/>
          <w:b w:val="0"/>
          <w:color w:val="auto"/>
          <w:sz w:val="28"/>
          <w:szCs w:val="28"/>
          <w:highlight w:val="none"/>
        </w:rPr>
        <w:t>资料</w:t>
      </w:r>
      <w:bookmarkEnd w:id="566"/>
      <w:bookmarkEnd w:id="567"/>
    </w:p>
    <w:p>
      <w:pPr>
        <w:pStyle w:val="5"/>
        <w:spacing w:before="120" w:after="120" w:line="360" w:lineRule="auto"/>
        <w:jc w:val="center"/>
        <w:rPr>
          <w:rFonts w:ascii="宋体" w:hAnsi="宋体"/>
          <w:color w:val="auto"/>
          <w:sz w:val="24"/>
          <w:szCs w:val="24"/>
          <w:highlight w:val="none"/>
        </w:rPr>
      </w:pPr>
      <w:bookmarkStart w:id="568" w:name="_Toc28134"/>
      <w:r>
        <w:rPr>
          <w:rFonts w:hint="eastAsia" w:ascii="宋体" w:hAnsi="宋体"/>
          <w:color w:val="auto"/>
          <w:sz w:val="24"/>
          <w:szCs w:val="24"/>
          <w:highlight w:val="none"/>
        </w:rPr>
        <w:t>（一）响应人</w:t>
      </w:r>
      <w:r>
        <w:rPr>
          <w:rFonts w:ascii="宋体" w:hAnsi="宋体"/>
          <w:color w:val="auto"/>
          <w:sz w:val="24"/>
          <w:szCs w:val="24"/>
          <w:highlight w:val="none"/>
        </w:rPr>
        <w:t>基本情况表</w:t>
      </w:r>
      <w:bookmarkEnd w:id="568"/>
    </w:p>
    <w:tbl>
      <w:tblPr>
        <w:tblStyle w:val="66"/>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255"/>
        <w:gridCol w:w="1440"/>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lang w:eastAsia="zh-CN"/>
              </w:rPr>
              <w:t>响应人</w:t>
            </w:r>
            <w:r>
              <w:rPr>
                <w:rFonts w:hint="eastAsia" w:ascii="宋体" w:hAnsi="宋体" w:cs="仿宋_GB2312"/>
                <w:color w:val="auto"/>
                <w:spacing w:val="14"/>
                <w:kern w:val="0"/>
                <w:sz w:val="24"/>
                <w:highlight w:val="none"/>
              </w:rPr>
              <w:t>全称</w:t>
            </w:r>
          </w:p>
        </w:tc>
        <w:tc>
          <w:tcPr>
            <w:tcW w:w="6405" w:type="dxa"/>
            <w:gridSpan w:val="3"/>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主要业务范围</w:t>
            </w:r>
          </w:p>
        </w:tc>
        <w:tc>
          <w:tcPr>
            <w:tcW w:w="6405" w:type="dxa"/>
            <w:gridSpan w:val="3"/>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法定代表人</w:t>
            </w:r>
          </w:p>
        </w:tc>
        <w:tc>
          <w:tcPr>
            <w:tcW w:w="3255" w:type="dxa"/>
            <w:noWrap w:val="0"/>
            <w:vAlign w:val="center"/>
          </w:tcPr>
          <w:p>
            <w:pPr>
              <w:jc w:val="center"/>
              <w:rPr>
                <w:rFonts w:hint="eastAsia" w:ascii="宋体" w:hAnsi="宋体" w:cs="仿宋_GB2312"/>
                <w:color w:val="auto"/>
                <w:spacing w:val="14"/>
                <w:kern w:val="0"/>
                <w:sz w:val="28"/>
                <w:szCs w:val="28"/>
                <w:highlight w:val="none"/>
              </w:rPr>
            </w:pPr>
          </w:p>
        </w:tc>
        <w:tc>
          <w:tcPr>
            <w:tcW w:w="1440"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职    务</w:t>
            </w:r>
          </w:p>
        </w:tc>
        <w:tc>
          <w:tcPr>
            <w:tcW w:w="1710" w:type="dxa"/>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8"/>
                <w:szCs w:val="28"/>
                <w:highlight w:val="none"/>
              </w:rPr>
            </w:pPr>
            <w:r>
              <w:rPr>
                <w:rFonts w:hint="eastAsia" w:ascii="宋体" w:hAnsi="宋体" w:cs="仿宋_GB2312"/>
                <w:color w:val="auto"/>
                <w:spacing w:val="14"/>
                <w:kern w:val="0"/>
                <w:sz w:val="24"/>
                <w:highlight w:val="none"/>
                <w:lang w:eastAsia="zh-CN"/>
              </w:rPr>
              <w:t>响应人</w:t>
            </w:r>
            <w:r>
              <w:rPr>
                <w:rFonts w:hint="eastAsia" w:ascii="宋体" w:hAnsi="宋体" w:cs="仿宋_GB2312"/>
                <w:color w:val="auto"/>
                <w:spacing w:val="14"/>
                <w:kern w:val="0"/>
                <w:sz w:val="24"/>
                <w:highlight w:val="none"/>
              </w:rPr>
              <w:t>地址</w:t>
            </w:r>
          </w:p>
        </w:tc>
        <w:tc>
          <w:tcPr>
            <w:tcW w:w="3255" w:type="dxa"/>
            <w:noWrap w:val="0"/>
            <w:vAlign w:val="center"/>
          </w:tcPr>
          <w:p>
            <w:pPr>
              <w:jc w:val="center"/>
              <w:rPr>
                <w:rFonts w:hint="eastAsia" w:ascii="宋体" w:hAnsi="宋体" w:cs="仿宋_GB2312"/>
                <w:color w:val="auto"/>
                <w:spacing w:val="14"/>
                <w:kern w:val="0"/>
                <w:sz w:val="28"/>
                <w:szCs w:val="28"/>
                <w:highlight w:val="none"/>
              </w:rPr>
            </w:pPr>
          </w:p>
        </w:tc>
        <w:tc>
          <w:tcPr>
            <w:tcW w:w="1440"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邮政编码</w:t>
            </w:r>
          </w:p>
        </w:tc>
        <w:tc>
          <w:tcPr>
            <w:tcW w:w="1710" w:type="dxa"/>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电     话</w:t>
            </w:r>
          </w:p>
        </w:tc>
        <w:tc>
          <w:tcPr>
            <w:tcW w:w="3255" w:type="dxa"/>
            <w:noWrap w:val="0"/>
            <w:vAlign w:val="center"/>
          </w:tcPr>
          <w:p>
            <w:pPr>
              <w:jc w:val="center"/>
              <w:rPr>
                <w:rFonts w:hint="eastAsia" w:ascii="宋体" w:hAnsi="宋体" w:cs="仿宋_GB2312"/>
                <w:color w:val="auto"/>
                <w:spacing w:val="14"/>
                <w:kern w:val="0"/>
                <w:sz w:val="28"/>
                <w:szCs w:val="28"/>
                <w:highlight w:val="none"/>
              </w:rPr>
            </w:pPr>
          </w:p>
        </w:tc>
        <w:tc>
          <w:tcPr>
            <w:tcW w:w="1440"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传    真</w:t>
            </w:r>
          </w:p>
        </w:tc>
        <w:tc>
          <w:tcPr>
            <w:tcW w:w="1710" w:type="dxa"/>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成立日期</w:t>
            </w:r>
          </w:p>
        </w:tc>
        <w:tc>
          <w:tcPr>
            <w:tcW w:w="3255" w:type="dxa"/>
            <w:noWrap w:val="0"/>
            <w:vAlign w:val="center"/>
          </w:tcPr>
          <w:p>
            <w:pPr>
              <w:jc w:val="center"/>
              <w:rPr>
                <w:rFonts w:hint="eastAsia" w:ascii="宋体" w:hAnsi="宋体" w:cs="仿宋_GB2312"/>
                <w:color w:val="auto"/>
                <w:spacing w:val="14"/>
                <w:kern w:val="0"/>
                <w:sz w:val="28"/>
                <w:szCs w:val="28"/>
                <w:highlight w:val="none"/>
              </w:rPr>
            </w:pPr>
          </w:p>
        </w:tc>
        <w:tc>
          <w:tcPr>
            <w:tcW w:w="1440"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现有职</w:t>
            </w:r>
          </w:p>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工人数</w:t>
            </w:r>
          </w:p>
        </w:tc>
        <w:tc>
          <w:tcPr>
            <w:tcW w:w="1710" w:type="dxa"/>
            <w:noWrap w:val="0"/>
            <w:vAlign w:val="center"/>
          </w:tcPr>
          <w:p>
            <w:pPr>
              <w:jc w:val="center"/>
              <w:rPr>
                <w:rFonts w:hint="eastAsia" w:ascii="宋体" w:hAnsi="宋体" w:cs="仿宋_GB2312"/>
                <w:color w:val="auto"/>
                <w:spacing w:val="14"/>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pPr>
              <w:jc w:val="center"/>
              <w:rPr>
                <w:rFonts w:hint="eastAsia" w:ascii="宋体" w:hAnsi="宋体" w:cs="仿宋_GB2312"/>
                <w:color w:val="auto"/>
                <w:spacing w:val="14"/>
                <w:kern w:val="0"/>
                <w:sz w:val="24"/>
                <w:highlight w:val="none"/>
              </w:rPr>
            </w:pPr>
            <w:r>
              <w:rPr>
                <w:rFonts w:hint="eastAsia" w:ascii="宋体" w:hAnsi="宋体" w:cs="仿宋_GB2312"/>
                <w:color w:val="auto"/>
                <w:spacing w:val="14"/>
                <w:kern w:val="0"/>
                <w:sz w:val="24"/>
                <w:highlight w:val="none"/>
              </w:rPr>
              <w:t>资质证书</w:t>
            </w:r>
          </w:p>
        </w:tc>
        <w:tc>
          <w:tcPr>
            <w:tcW w:w="6405" w:type="dxa"/>
            <w:gridSpan w:val="3"/>
            <w:noWrap w:val="0"/>
            <w:vAlign w:val="center"/>
          </w:tcPr>
          <w:p>
            <w:pPr>
              <w:ind w:firstLine="402" w:firstLineChars="150"/>
              <w:rPr>
                <w:rFonts w:hint="eastAsia" w:ascii="宋体" w:hAnsi="宋体" w:cs="仿宋_GB2312"/>
                <w:color w:val="auto"/>
                <w:spacing w:val="14"/>
                <w:kern w:val="0"/>
                <w:sz w:val="28"/>
                <w:szCs w:val="28"/>
                <w:highlight w:val="none"/>
              </w:rPr>
            </w:pPr>
            <w:r>
              <w:rPr>
                <w:rFonts w:hint="eastAsia" w:ascii="宋体" w:hAnsi="宋体" w:cs="仿宋_GB2312"/>
                <w:color w:val="auto"/>
                <w:spacing w:val="14"/>
                <w:kern w:val="0"/>
                <w:sz w:val="24"/>
                <w:highlight w:val="none"/>
              </w:rPr>
              <w:t>等级：         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33" w:type="dxa"/>
            <w:gridSpan w:val="4"/>
            <w:noWrap w:val="0"/>
            <w:vAlign w:val="top"/>
          </w:tcPr>
          <w:p>
            <w:pPr>
              <w:spacing w:before="156" w:beforeLines="50" w:line="360" w:lineRule="auto"/>
              <w:rPr>
                <w:rFonts w:hint="eastAsia" w:ascii="宋体" w:hAnsi="宋体" w:cs="仿宋_GB2312"/>
                <w:color w:val="auto"/>
                <w:kern w:val="0"/>
                <w:sz w:val="24"/>
                <w:highlight w:val="none"/>
              </w:rPr>
            </w:pPr>
            <w:r>
              <w:rPr>
                <w:rFonts w:hint="eastAsia" w:ascii="宋体" w:hAnsi="宋体" w:cs="仿宋_GB2312"/>
                <w:color w:val="auto"/>
                <w:kern w:val="0"/>
                <w:sz w:val="24"/>
                <w:highlight w:val="none"/>
              </w:rPr>
              <w:t>公司简介：</w:t>
            </w: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p>
            <w:pPr>
              <w:spacing w:line="360" w:lineRule="auto"/>
              <w:ind w:firstLine="536" w:firstLineChars="200"/>
              <w:rPr>
                <w:rFonts w:hint="eastAsia" w:ascii="宋体" w:hAnsi="宋体" w:cs="仿宋_GB2312"/>
                <w:color w:val="auto"/>
                <w:spacing w:val="14"/>
                <w:kern w:val="0"/>
                <w:sz w:val="24"/>
                <w:highlight w:val="none"/>
              </w:rPr>
            </w:pPr>
          </w:p>
        </w:tc>
      </w:tr>
    </w:tbl>
    <w:p>
      <w:pPr>
        <w:spacing w:line="480" w:lineRule="auto"/>
        <w:ind w:left="446" w:hanging="446" w:hangingChars="202"/>
        <w:jc w:val="left"/>
        <w:rPr>
          <w:b/>
          <w:color w:val="auto"/>
          <w:sz w:val="22"/>
          <w:szCs w:val="20"/>
          <w:highlight w:val="none"/>
        </w:rPr>
      </w:pPr>
      <w:r>
        <w:rPr>
          <w:b/>
          <w:color w:val="auto"/>
          <w:sz w:val="22"/>
          <w:szCs w:val="20"/>
          <w:highlight w:val="none"/>
        </w:rPr>
        <w:t>注</w:t>
      </w:r>
      <w:r>
        <w:rPr>
          <w:rFonts w:hint="eastAsia"/>
          <w:b/>
          <w:color w:val="auto"/>
          <w:sz w:val="22"/>
          <w:szCs w:val="20"/>
          <w:highlight w:val="none"/>
        </w:rPr>
        <w:t>：</w:t>
      </w:r>
      <w:r>
        <w:rPr>
          <w:b/>
          <w:color w:val="auto"/>
          <w:sz w:val="22"/>
          <w:szCs w:val="20"/>
          <w:highlight w:val="none"/>
        </w:rPr>
        <w:t>在本表后应附法人营业执照副本</w:t>
      </w:r>
      <w:r>
        <w:rPr>
          <w:rFonts w:hint="eastAsia"/>
          <w:b/>
          <w:color w:val="auto"/>
          <w:sz w:val="22"/>
          <w:szCs w:val="20"/>
          <w:highlight w:val="none"/>
          <w:lang w:eastAsia="zh-CN"/>
        </w:rPr>
        <w:t>、</w:t>
      </w:r>
      <w:r>
        <w:rPr>
          <w:b/>
          <w:color w:val="auto"/>
          <w:sz w:val="22"/>
          <w:szCs w:val="20"/>
          <w:highlight w:val="none"/>
        </w:rPr>
        <w:t>资质证书副本</w:t>
      </w:r>
      <w:r>
        <w:rPr>
          <w:rFonts w:hint="eastAsia"/>
          <w:b/>
          <w:color w:val="auto"/>
          <w:sz w:val="22"/>
          <w:szCs w:val="20"/>
          <w:highlight w:val="none"/>
          <w:lang w:val="en-US" w:eastAsia="zh-CN"/>
        </w:rPr>
        <w:t>并盖公章</w:t>
      </w:r>
      <w:r>
        <w:rPr>
          <w:b/>
          <w:color w:val="auto"/>
          <w:sz w:val="22"/>
          <w:szCs w:val="20"/>
          <w:highlight w:val="none"/>
        </w:rPr>
        <w:t>。</w:t>
      </w:r>
    </w:p>
    <w:p>
      <w:pPr>
        <w:topLinePunct/>
        <w:spacing w:line="440" w:lineRule="exact"/>
        <w:ind w:left="334" w:firstLine="2604" w:firstLineChars="1085"/>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topLinePunct/>
        <w:spacing w:line="440" w:lineRule="exact"/>
        <w:ind w:firstLine="4500" w:firstLineChars="1875"/>
        <w:rPr>
          <w:color w:val="auto"/>
          <w:highlight w:val="none"/>
        </w:r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pPr>
        <w:pStyle w:val="5"/>
        <w:spacing w:before="120" w:after="120" w:line="360" w:lineRule="auto"/>
        <w:jc w:val="center"/>
        <w:rPr>
          <w:rFonts w:ascii="宋体" w:hAnsi="宋体"/>
          <w:color w:val="auto"/>
          <w:sz w:val="24"/>
          <w:szCs w:val="24"/>
          <w:highlight w:val="none"/>
        </w:rPr>
      </w:pPr>
      <w:r>
        <w:rPr>
          <w:color w:val="auto"/>
          <w:highlight w:val="none"/>
        </w:rPr>
        <w:br w:type="page"/>
      </w:r>
      <w:bookmarkStart w:id="569" w:name="_Toc24078"/>
      <w:r>
        <w:rPr>
          <w:rFonts w:hint="eastAsia" w:ascii="宋体" w:hAnsi="宋体"/>
          <w:color w:val="auto"/>
          <w:sz w:val="24"/>
          <w:szCs w:val="24"/>
          <w:highlight w:val="none"/>
        </w:rPr>
        <w:t>（二）</w:t>
      </w:r>
      <w:r>
        <w:rPr>
          <w:rFonts w:ascii="宋体" w:hAnsi="宋体"/>
          <w:color w:val="auto"/>
          <w:sz w:val="24"/>
          <w:szCs w:val="24"/>
          <w:highlight w:val="none"/>
        </w:rPr>
        <w:t>近年</w:t>
      </w:r>
      <w:r>
        <w:rPr>
          <w:rFonts w:hint="eastAsia" w:ascii="宋体" w:hAnsi="宋体"/>
          <w:color w:val="auto"/>
          <w:sz w:val="24"/>
          <w:szCs w:val="24"/>
          <w:highlight w:val="none"/>
        </w:rPr>
        <w:t>完成的</w:t>
      </w:r>
      <w:r>
        <w:rPr>
          <w:rFonts w:ascii="宋体" w:hAnsi="宋体"/>
          <w:color w:val="auto"/>
          <w:sz w:val="24"/>
          <w:szCs w:val="24"/>
          <w:highlight w:val="none"/>
        </w:rPr>
        <w:t>类似项目情况表</w:t>
      </w:r>
      <w:bookmarkEnd w:id="569"/>
    </w:p>
    <w:tbl>
      <w:tblPr>
        <w:tblStyle w:val="66"/>
        <w:tblW w:w="846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35"/>
        <w:gridCol w:w="552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color w:val="auto"/>
                <w:szCs w:val="21"/>
                <w:highlight w:val="none"/>
              </w:rPr>
              <w:t>项目名称</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color w:val="auto"/>
                <w:szCs w:val="21"/>
                <w:highlight w:val="none"/>
              </w:rPr>
              <w:t>项目所在地</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color w:val="auto"/>
                <w:szCs w:val="21"/>
                <w:highlight w:val="none"/>
              </w:rPr>
              <w:t>采购人名称</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rFonts w:hint="eastAsia"/>
                <w:color w:val="auto"/>
                <w:szCs w:val="21"/>
                <w:highlight w:val="none"/>
              </w:rPr>
              <w:t>总装机容量</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rFonts w:hint="eastAsia"/>
                <w:color w:val="auto"/>
                <w:szCs w:val="21"/>
                <w:highlight w:val="none"/>
              </w:rPr>
              <w:t>工期</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color w:val="auto"/>
                <w:szCs w:val="21"/>
                <w:highlight w:val="none"/>
              </w:rPr>
              <w:t>项目</w:t>
            </w:r>
            <w:r>
              <w:rPr>
                <w:rFonts w:hint="eastAsia"/>
                <w:color w:val="auto"/>
                <w:szCs w:val="21"/>
                <w:highlight w:val="none"/>
              </w:rPr>
              <w:t>负责人</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2935" w:type="dxa"/>
            <w:vAlign w:val="center"/>
          </w:tcPr>
          <w:p>
            <w:pPr>
              <w:topLinePunct/>
              <w:spacing w:line="400" w:lineRule="atLeast"/>
              <w:jc w:val="center"/>
              <w:rPr>
                <w:color w:val="auto"/>
                <w:szCs w:val="21"/>
                <w:highlight w:val="none"/>
              </w:rPr>
            </w:pPr>
            <w:r>
              <w:rPr>
                <w:rFonts w:hint="eastAsia"/>
                <w:color w:val="auto"/>
                <w:szCs w:val="21"/>
                <w:highlight w:val="none"/>
              </w:rPr>
              <w:t>项目完成情况</w:t>
            </w:r>
          </w:p>
        </w:tc>
        <w:tc>
          <w:tcPr>
            <w:tcW w:w="5526" w:type="dxa"/>
            <w:vAlign w:val="center"/>
          </w:tcPr>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2935" w:type="dxa"/>
            <w:vAlign w:val="center"/>
          </w:tcPr>
          <w:p>
            <w:pPr>
              <w:topLinePunct/>
              <w:spacing w:line="400" w:lineRule="atLeast"/>
              <w:jc w:val="center"/>
              <w:rPr>
                <w:color w:val="auto"/>
                <w:szCs w:val="21"/>
                <w:highlight w:val="none"/>
              </w:rPr>
            </w:pPr>
            <w:r>
              <w:rPr>
                <w:color w:val="auto"/>
                <w:szCs w:val="21"/>
                <w:highlight w:val="none"/>
              </w:rPr>
              <w:t>项目描述</w:t>
            </w:r>
          </w:p>
        </w:tc>
        <w:tc>
          <w:tcPr>
            <w:tcW w:w="5526" w:type="dxa"/>
            <w:vAlign w:val="center"/>
          </w:tcPr>
          <w:p>
            <w:pPr>
              <w:topLinePunct/>
              <w:spacing w:line="400" w:lineRule="atLeast"/>
              <w:jc w:val="center"/>
              <w:rPr>
                <w:color w:val="auto"/>
                <w:szCs w:val="21"/>
                <w:highlight w:val="none"/>
              </w:rPr>
            </w:pPr>
          </w:p>
          <w:p>
            <w:pPr>
              <w:topLinePunct/>
              <w:spacing w:line="400" w:lineRule="atLeast"/>
              <w:jc w:val="center"/>
              <w:rPr>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7" w:hRule="atLeast"/>
        </w:trPr>
        <w:tc>
          <w:tcPr>
            <w:tcW w:w="2935" w:type="dxa"/>
          </w:tcPr>
          <w:p>
            <w:pPr>
              <w:topLinePunct/>
              <w:spacing w:line="400" w:lineRule="atLeast"/>
              <w:jc w:val="center"/>
              <w:rPr>
                <w:color w:val="auto"/>
                <w:szCs w:val="21"/>
                <w:highlight w:val="none"/>
              </w:rPr>
            </w:pPr>
            <w:r>
              <w:rPr>
                <w:color w:val="auto"/>
                <w:szCs w:val="21"/>
                <w:highlight w:val="none"/>
              </w:rPr>
              <w:t>备注</w:t>
            </w:r>
          </w:p>
        </w:tc>
        <w:tc>
          <w:tcPr>
            <w:tcW w:w="5526" w:type="dxa"/>
          </w:tcPr>
          <w:p>
            <w:pPr>
              <w:topLinePunct/>
              <w:spacing w:line="400" w:lineRule="atLeast"/>
              <w:ind w:firstLine="181"/>
              <w:jc w:val="center"/>
              <w:rPr>
                <w:color w:val="auto"/>
                <w:szCs w:val="21"/>
                <w:highlight w:val="none"/>
              </w:rPr>
            </w:pPr>
          </w:p>
        </w:tc>
      </w:tr>
    </w:tbl>
    <w:p>
      <w:pPr>
        <w:spacing w:line="360" w:lineRule="auto"/>
        <w:ind w:left="446" w:hanging="446" w:hangingChars="202"/>
        <w:rPr>
          <w:b/>
          <w:color w:val="auto"/>
          <w:sz w:val="22"/>
          <w:szCs w:val="20"/>
          <w:highlight w:val="none"/>
        </w:rPr>
      </w:pPr>
      <w:r>
        <w:rPr>
          <w:b/>
          <w:color w:val="auto"/>
          <w:sz w:val="22"/>
          <w:szCs w:val="20"/>
          <w:highlight w:val="none"/>
        </w:rPr>
        <w:t>注：</w:t>
      </w:r>
      <w:r>
        <w:rPr>
          <w:rFonts w:hint="eastAsia"/>
          <w:b/>
          <w:color w:val="auto"/>
          <w:sz w:val="22"/>
          <w:szCs w:val="20"/>
          <w:highlight w:val="none"/>
        </w:rPr>
        <w:t>响应人</w:t>
      </w:r>
      <w:r>
        <w:rPr>
          <w:b/>
          <w:color w:val="auto"/>
          <w:sz w:val="22"/>
          <w:szCs w:val="20"/>
          <w:highlight w:val="none"/>
        </w:rPr>
        <w:t>应</w:t>
      </w:r>
      <w:r>
        <w:rPr>
          <w:rFonts w:hint="eastAsia"/>
          <w:b/>
          <w:color w:val="auto"/>
          <w:sz w:val="22"/>
          <w:szCs w:val="20"/>
          <w:highlight w:val="none"/>
        </w:rPr>
        <w:t>在本表后附201</w:t>
      </w:r>
      <w:r>
        <w:rPr>
          <w:rFonts w:hint="eastAsia"/>
          <w:b/>
          <w:color w:val="auto"/>
          <w:sz w:val="22"/>
          <w:szCs w:val="20"/>
          <w:highlight w:val="none"/>
          <w:lang w:val="en-US" w:eastAsia="zh-CN"/>
        </w:rPr>
        <w:t>9</w:t>
      </w:r>
      <w:r>
        <w:rPr>
          <w:rFonts w:hint="eastAsia"/>
          <w:b/>
          <w:color w:val="auto"/>
          <w:sz w:val="22"/>
          <w:szCs w:val="20"/>
          <w:highlight w:val="none"/>
        </w:rPr>
        <w:t>年</w:t>
      </w:r>
      <w:r>
        <w:rPr>
          <w:rFonts w:hint="eastAsia"/>
          <w:b/>
          <w:color w:val="auto"/>
          <w:sz w:val="22"/>
          <w:szCs w:val="20"/>
          <w:highlight w:val="none"/>
          <w:lang w:val="en-US" w:eastAsia="zh-CN"/>
        </w:rPr>
        <w:t>4</w:t>
      </w:r>
      <w:r>
        <w:rPr>
          <w:rFonts w:hint="eastAsia"/>
          <w:b/>
          <w:color w:val="auto"/>
          <w:sz w:val="22"/>
          <w:szCs w:val="20"/>
          <w:highlight w:val="none"/>
        </w:rPr>
        <w:t>月至今</w:t>
      </w:r>
      <w:r>
        <w:rPr>
          <w:b/>
          <w:color w:val="auto"/>
          <w:sz w:val="22"/>
          <w:szCs w:val="20"/>
          <w:highlight w:val="none"/>
        </w:rPr>
        <w:t>已</w:t>
      </w:r>
      <w:r>
        <w:rPr>
          <w:rFonts w:hint="eastAsia"/>
          <w:b/>
          <w:color w:val="auto"/>
          <w:sz w:val="22"/>
          <w:szCs w:val="20"/>
          <w:highlight w:val="none"/>
        </w:rPr>
        <w:t>完成的光伏</w:t>
      </w:r>
      <w:r>
        <w:rPr>
          <w:b/>
          <w:color w:val="auto"/>
          <w:sz w:val="22"/>
          <w:szCs w:val="20"/>
          <w:highlight w:val="none"/>
        </w:rPr>
        <w:t>项目</w:t>
      </w:r>
      <w:r>
        <w:rPr>
          <w:rFonts w:hint="eastAsia"/>
          <w:b/>
          <w:color w:val="auto"/>
          <w:sz w:val="22"/>
          <w:szCs w:val="21"/>
          <w:highlight w:val="none"/>
        </w:rPr>
        <w:t>的合同协议书或相关证明材料的</w:t>
      </w:r>
      <w:r>
        <w:rPr>
          <w:b/>
          <w:color w:val="auto"/>
          <w:sz w:val="22"/>
          <w:szCs w:val="20"/>
          <w:highlight w:val="none"/>
        </w:rPr>
        <w:t>复印</w:t>
      </w:r>
      <w:r>
        <w:rPr>
          <w:rFonts w:hint="eastAsia"/>
          <w:b/>
          <w:color w:val="auto"/>
          <w:sz w:val="22"/>
          <w:szCs w:val="21"/>
          <w:highlight w:val="none"/>
        </w:rPr>
        <w:t>件</w:t>
      </w:r>
      <w:r>
        <w:rPr>
          <w:rFonts w:hint="eastAsia"/>
          <w:b/>
          <w:color w:val="auto"/>
          <w:sz w:val="22"/>
          <w:szCs w:val="20"/>
          <w:highlight w:val="none"/>
          <w:lang w:val="en-US" w:eastAsia="zh-CN"/>
        </w:rPr>
        <w:t>并盖公章</w:t>
      </w:r>
      <w:r>
        <w:rPr>
          <w:rFonts w:hint="eastAsia"/>
          <w:b/>
          <w:color w:val="auto"/>
          <w:sz w:val="22"/>
          <w:szCs w:val="20"/>
          <w:highlight w:val="none"/>
        </w:rPr>
        <w:t>。</w:t>
      </w:r>
      <w:r>
        <w:rPr>
          <w:b/>
          <w:color w:val="auto"/>
          <w:sz w:val="22"/>
          <w:szCs w:val="20"/>
          <w:highlight w:val="none"/>
        </w:rPr>
        <w:t>每张表格只填写一个项目，并标明序号。</w:t>
      </w:r>
    </w:p>
    <w:p>
      <w:pPr>
        <w:spacing w:line="360" w:lineRule="auto"/>
        <w:ind w:left="446" w:hanging="484" w:hangingChars="202"/>
        <w:rPr>
          <w:rFonts w:hint="eastAsia"/>
          <w:color w:val="auto"/>
          <w:highlight w:val="none"/>
        </w:rPr>
      </w:pPr>
    </w:p>
    <w:p>
      <w:pPr>
        <w:spacing w:line="360" w:lineRule="auto"/>
        <w:ind w:left="446" w:hanging="484" w:hangingChars="202"/>
        <w:rPr>
          <w:rFonts w:hint="eastAsia"/>
          <w:color w:val="auto"/>
          <w:highlight w:val="none"/>
        </w:rPr>
      </w:pPr>
    </w:p>
    <w:p>
      <w:pPr>
        <w:spacing w:line="360" w:lineRule="auto"/>
        <w:ind w:left="446" w:hanging="484" w:hangingChars="202"/>
        <w:rPr>
          <w:rFonts w:hint="eastAsia"/>
          <w:color w:val="auto"/>
          <w:highlight w:val="none"/>
        </w:rPr>
      </w:pPr>
    </w:p>
    <w:p>
      <w:pPr>
        <w:spacing w:line="360" w:lineRule="auto"/>
        <w:ind w:left="446" w:hanging="484" w:hangingChars="202"/>
        <w:rPr>
          <w:rFonts w:hint="eastAsia"/>
          <w:color w:val="auto"/>
          <w:highlight w:val="none"/>
        </w:rPr>
      </w:pPr>
    </w:p>
    <w:p>
      <w:pPr>
        <w:spacing w:line="360" w:lineRule="auto"/>
        <w:ind w:firstLine="2880" w:firstLineChars="1200"/>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pStyle w:val="2"/>
        <w:ind w:firstLine="4020" w:firstLineChars="1675"/>
        <w:rPr>
          <w:color w:val="auto"/>
          <w:highlight w:val="none"/>
        </w:r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pPr>
        <w:widowControl/>
        <w:autoSpaceDE w:val="0"/>
        <w:autoSpaceDN w:val="0"/>
        <w:spacing w:line="240" w:lineRule="atLeast"/>
        <w:ind w:left="794" w:leftChars="181" w:hanging="360" w:hangingChars="150"/>
        <w:textAlignment w:val="bottom"/>
        <w:rPr>
          <w:color w:val="auto"/>
          <w:highlight w:val="none"/>
        </w:rPr>
      </w:pPr>
      <w:r>
        <w:rPr>
          <w:rFonts w:hint="eastAsia"/>
          <w:color w:val="auto"/>
          <w:highlight w:val="none"/>
          <w:lang w:val="en-US" w:eastAsia="zh-CN"/>
        </w:rPr>
        <w:t xml:space="preserve">       </w:t>
      </w:r>
      <w:r>
        <w:rPr>
          <w:color w:val="auto"/>
          <w:highlight w:val="none"/>
        </w:rPr>
        <w:br w:type="page"/>
      </w:r>
    </w:p>
    <w:p>
      <w:pPr>
        <w:pStyle w:val="2"/>
        <w:rPr>
          <w:color w:val="auto"/>
          <w:highlight w:val="none"/>
        </w:rPr>
      </w:pPr>
    </w:p>
    <w:p>
      <w:pPr>
        <w:pStyle w:val="5"/>
        <w:spacing w:before="120" w:after="120" w:line="360" w:lineRule="auto"/>
        <w:jc w:val="center"/>
        <w:rPr>
          <w:rFonts w:ascii="宋体" w:hAnsi="宋体"/>
          <w:color w:val="auto"/>
          <w:sz w:val="24"/>
          <w:szCs w:val="24"/>
          <w:highlight w:val="none"/>
        </w:rPr>
      </w:pPr>
      <w:bookmarkStart w:id="570" w:name="_Toc226640866"/>
      <w:bookmarkStart w:id="571" w:name="_Toc8064"/>
      <w:r>
        <w:rPr>
          <w:rFonts w:hint="eastAsia" w:ascii="宋体" w:hAnsi="宋体"/>
          <w:color w:val="auto"/>
          <w:sz w:val="24"/>
          <w:szCs w:val="24"/>
          <w:highlight w:val="none"/>
        </w:rPr>
        <w:t>（三） 履约信誉</w:t>
      </w:r>
      <w:bookmarkEnd w:id="570"/>
      <w:r>
        <w:rPr>
          <w:rFonts w:hint="eastAsia" w:ascii="宋体" w:hAnsi="宋体"/>
          <w:color w:val="auto"/>
          <w:sz w:val="24"/>
          <w:szCs w:val="24"/>
          <w:highlight w:val="none"/>
        </w:rPr>
        <w:t>情况表</w:t>
      </w:r>
      <w:bookmarkEnd w:id="571"/>
    </w:p>
    <w:p>
      <w:pPr>
        <w:rPr>
          <w:color w:val="auto"/>
          <w:highlight w:val="none"/>
        </w:rPr>
      </w:pPr>
    </w:p>
    <w:tbl>
      <w:tblPr>
        <w:tblStyle w:val="66"/>
        <w:tblW w:w="84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88"/>
        <w:gridCol w:w="3750"/>
        <w:gridCol w:w="12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5" w:hRule="atLeast"/>
          <w:jc w:val="center"/>
        </w:trPr>
        <w:tc>
          <w:tcPr>
            <w:tcW w:w="3488" w:type="dxa"/>
            <w:vAlign w:val="center"/>
          </w:tcPr>
          <w:p>
            <w:pPr>
              <w:spacing w:line="260" w:lineRule="exact"/>
              <w:jc w:val="center"/>
              <w:rPr>
                <w:rFonts w:ascii="宋体" w:hAnsi="宋体"/>
                <w:color w:val="auto"/>
                <w:szCs w:val="21"/>
                <w:highlight w:val="none"/>
              </w:rPr>
            </w:pPr>
            <w:r>
              <w:rPr>
                <w:rFonts w:hint="eastAsia" w:ascii="宋体" w:hAnsi="宋体"/>
                <w:color w:val="auto"/>
                <w:szCs w:val="21"/>
                <w:highlight w:val="none"/>
              </w:rPr>
              <w:t>内  容</w:t>
            </w:r>
          </w:p>
        </w:tc>
        <w:tc>
          <w:tcPr>
            <w:tcW w:w="3750" w:type="dxa"/>
            <w:vAlign w:val="center"/>
          </w:tcPr>
          <w:p>
            <w:pPr>
              <w:spacing w:line="260" w:lineRule="exact"/>
              <w:jc w:val="center"/>
              <w:rPr>
                <w:rFonts w:ascii="宋体" w:hAnsi="宋体"/>
                <w:color w:val="auto"/>
                <w:szCs w:val="21"/>
                <w:highlight w:val="none"/>
              </w:rPr>
            </w:pPr>
            <w:r>
              <w:rPr>
                <w:rFonts w:hint="eastAsia" w:ascii="宋体" w:hAnsi="宋体"/>
                <w:color w:val="auto"/>
                <w:szCs w:val="21"/>
                <w:highlight w:val="none"/>
              </w:rPr>
              <w:t>响应人达到程度的简述</w:t>
            </w:r>
          </w:p>
          <w:p>
            <w:pPr>
              <w:spacing w:line="260" w:lineRule="exact"/>
              <w:jc w:val="center"/>
              <w:rPr>
                <w:rFonts w:ascii="宋体" w:hAnsi="宋体"/>
                <w:color w:val="auto"/>
                <w:szCs w:val="21"/>
                <w:highlight w:val="none"/>
              </w:rPr>
            </w:pPr>
            <w:r>
              <w:rPr>
                <w:rFonts w:hint="eastAsia" w:ascii="宋体" w:hAnsi="宋体"/>
                <w:color w:val="auto"/>
                <w:szCs w:val="21"/>
                <w:highlight w:val="none"/>
              </w:rPr>
              <w:t>（响应人填写）</w:t>
            </w:r>
          </w:p>
        </w:tc>
        <w:tc>
          <w:tcPr>
            <w:tcW w:w="1260" w:type="dxa"/>
            <w:vAlign w:val="center"/>
          </w:tcPr>
          <w:p>
            <w:pPr>
              <w:spacing w:line="260" w:lineRule="exact"/>
              <w:jc w:val="center"/>
              <w:rPr>
                <w:rFonts w:ascii="宋体" w:hAnsi="宋体"/>
                <w:color w:val="auto"/>
                <w:szCs w:val="21"/>
                <w:highlight w:val="none"/>
              </w:rPr>
            </w:pPr>
            <w:r>
              <w:rPr>
                <w:rFonts w:hint="eastAsia" w:ascii="宋体" w:hAnsi="宋体"/>
                <w:color w:val="auto"/>
                <w:szCs w:val="21"/>
                <w:highlight w:val="none"/>
              </w:rPr>
              <w:t>证明材料所在页号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7"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1</w:t>
            </w:r>
            <w:r>
              <w:rPr>
                <w:rFonts w:hint="eastAsia" w:ascii="宋体" w:hAnsi="宋体"/>
                <w:color w:val="auto"/>
                <w:szCs w:val="21"/>
                <w:highlight w:val="none"/>
              </w:rPr>
              <w:t>、响应人</w:t>
            </w:r>
            <w:r>
              <w:rPr>
                <w:rFonts w:hint="eastAsia"/>
                <w:color w:val="auto"/>
                <w:highlight w:val="none"/>
              </w:rPr>
              <w:t>未处于被责令停业的</w:t>
            </w:r>
          </w:p>
        </w:tc>
        <w:tc>
          <w:tcPr>
            <w:tcW w:w="3750" w:type="dxa"/>
            <w:vAlign w:val="center"/>
          </w:tcPr>
          <w:p>
            <w:pPr>
              <w:spacing w:line="40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15"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2、响应人</w:t>
            </w:r>
            <w:r>
              <w:rPr>
                <w:rFonts w:hint="eastAsia"/>
                <w:color w:val="auto"/>
                <w:highlight w:val="none"/>
              </w:rPr>
              <w:t>未处于被暂停或取消响应资格的</w:t>
            </w:r>
          </w:p>
        </w:tc>
        <w:tc>
          <w:tcPr>
            <w:tcW w:w="3750" w:type="dxa"/>
            <w:vAlign w:val="center"/>
          </w:tcPr>
          <w:p>
            <w:pPr>
              <w:spacing w:line="26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8"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3、响应人</w:t>
            </w:r>
            <w:r>
              <w:rPr>
                <w:rFonts w:hint="eastAsia"/>
                <w:color w:val="auto"/>
                <w:highlight w:val="none"/>
              </w:rPr>
              <w:t>财产未处于被接管、冻结或破产状态的</w:t>
            </w:r>
          </w:p>
        </w:tc>
        <w:tc>
          <w:tcPr>
            <w:tcW w:w="3750" w:type="dxa"/>
            <w:vAlign w:val="center"/>
          </w:tcPr>
          <w:p>
            <w:pPr>
              <w:spacing w:line="26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4、响应人</w:t>
            </w:r>
            <w:r>
              <w:rPr>
                <w:rFonts w:hint="eastAsia"/>
                <w:color w:val="auto"/>
                <w:highlight w:val="none"/>
              </w:rPr>
              <w:t>近三年无骗取中标或严重违约的</w:t>
            </w:r>
          </w:p>
        </w:tc>
        <w:tc>
          <w:tcPr>
            <w:tcW w:w="3750" w:type="dxa"/>
            <w:vAlign w:val="center"/>
          </w:tcPr>
          <w:p>
            <w:pPr>
              <w:spacing w:line="26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15"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5、响应人</w:t>
            </w:r>
            <w:r>
              <w:rPr>
                <w:rFonts w:hint="eastAsia"/>
                <w:color w:val="auto"/>
                <w:highlight w:val="none"/>
              </w:rPr>
              <w:t>没有涉及正在诉讼的案件，或涉及正在诉讼的案件对承担本工程不会造成重大影响的</w:t>
            </w:r>
          </w:p>
        </w:tc>
        <w:tc>
          <w:tcPr>
            <w:tcW w:w="3750" w:type="dxa"/>
            <w:vAlign w:val="center"/>
          </w:tcPr>
          <w:p>
            <w:pPr>
              <w:spacing w:line="26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15" w:hRule="atLeast"/>
          <w:jc w:val="center"/>
        </w:trPr>
        <w:tc>
          <w:tcPr>
            <w:tcW w:w="3488" w:type="dxa"/>
            <w:vAlign w:val="center"/>
          </w:tcPr>
          <w:p>
            <w:pPr>
              <w:spacing w:line="260" w:lineRule="exact"/>
              <w:ind w:firstLine="480" w:firstLineChars="200"/>
              <w:rPr>
                <w:rFonts w:ascii="宋体" w:hAnsi="宋体"/>
                <w:color w:val="auto"/>
                <w:szCs w:val="21"/>
                <w:highlight w:val="none"/>
              </w:rPr>
            </w:pPr>
            <w:r>
              <w:rPr>
                <w:rFonts w:hint="eastAsia" w:ascii="宋体" w:hAnsi="宋体"/>
                <w:color w:val="auto"/>
                <w:szCs w:val="21"/>
                <w:highlight w:val="none"/>
              </w:rPr>
              <w:t>6、在“信用中国”网站（http://www.creditchina.gov.cn/）中未被列入失信被执行人名单。在国家企业信用信息公示系统（http://www.gsxt.gov.cn/）中未被列入严重违法失信企业名单。</w:t>
            </w:r>
          </w:p>
        </w:tc>
        <w:tc>
          <w:tcPr>
            <w:tcW w:w="3750" w:type="dxa"/>
            <w:vAlign w:val="center"/>
          </w:tcPr>
          <w:p>
            <w:pPr>
              <w:spacing w:line="260" w:lineRule="exact"/>
              <w:ind w:firstLine="480" w:firstLineChars="200"/>
              <w:rPr>
                <w:rFonts w:ascii="宋体" w:hAnsi="宋体"/>
                <w:color w:val="auto"/>
                <w:szCs w:val="21"/>
                <w:highlight w:val="none"/>
              </w:rPr>
            </w:pPr>
          </w:p>
        </w:tc>
        <w:tc>
          <w:tcPr>
            <w:tcW w:w="1260" w:type="dxa"/>
            <w:vAlign w:val="center"/>
          </w:tcPr>
          <w:p>
            <w:pPr>
              <w:spacing w:line="260" w:lineRule="exact"/>
              <w:ind w:firstLine="480" w:firstLineChars="200"/>
              <w:rPr>
                <w:rFonts w:ascii="宋体" w:hAnsi="宋体"/>
                <w:color w:val="auto"/>
                <w:szCs w:val="21"/>
                <w:highlight w:val="none"/>
              </w:rPr>
            </w:pPr>
          </w:p>
        </w:tc>
      </w:tr>
    </w:tbl>
    <w:p>
      <w:pPr>
        <w:rPr>
          <w:rFonts w:ascii="宋体" w:hAnsi="宋体"/>
          <w:b/>
          <w:color w:val="auto"/>
          <w:sz w:val="18"/>
          <w:szCs w:val="18"/>
          <w:highlight w:val="none"/>
        </w:rPr>
      </w:pPr>
    </w:p>
    <w:p>
      <w:pPr>
        <w:spacing w:line="360" w:lineRule="auto"/>
        <w:rPr>
          <w:rFonts w:hint="eastAsia" w:ascii="宋体" w:hAnsi="宋体"/>
          <w:b/>
          <w:color w:val="auto"/>
          <w:sz w:val="22"/>
          <w:szCs w:val="20"/>
          <w:highlight w:val="none"/>
        </w:rPr>
      </w:pPr>
      <w:r>
        <w:rPr>
          <w:rFonts w:hint="eastAsia" w:ascii="宋体" w:hAnsi="宋体"/>
          <w:b/>
          <w:color w:val="auto"/>
          <w:sz w:val="22"/>
          <w:szCs w:val="20"/>
          <w:highlight w:val="none"/>
        </w:rPr>
        <w:t>注：1、响应人应如实填写，可附相关证明材料的复印件。</w:t>
      </w:r>
    </w:p>
    <w:p>
      <w:pPr>
        <w:spacing w:line="360" w:lineRule="auto"/>
        <w:rPr>
          <w:rFonts w:hint="eastAsia" w:ascii="宋体" w:hAnsi="宋体"/>
          <w:b/>
          <w:color w:val="auto"/>
          <w:sz w:val="22"/>
          <w:szCs w:val="20"/>
          <w:highlight w:val="none"/>
        </w:rPr>
      </w:pPr>
      <w:r>
        <w:rPr>
          <w:rFonts w:hint="eastAsia" w:ascii="宋体" w:hAnsi="宋体"/>
          <w:b/>
          <w:color w:val="auto"/>
          <w:sz w:val="22"/>
          <w:szCs w:val="20"/>
          <w:highlight w:val="none"/>
          <w:lang w:val="en-US" w:eastAsia="zh-CN"/>
        </w:rPr>
        <w:t>2、</w:t>
      </w:r>
      <w:r>
        <w:rPr>
          <w:rFonts w:hint="eastAsia" w:ascii="宋体" w:hAnsi="宋体"/>
          <w:b/>
          <w:color w:val="auto"/>
          <w:sz w:val="22"/>
          <w:szCs w:val="20"/>
          <w:highlight w:val="none"/>
        </w:rPr>
        <w:t>所有相关证明材料均应加盖响应人单位章。</w:t>
      </w:r>
    </w:p>
    <w:p>
      <w:pPr>
        <w:numPr>
          <w:ilvl w:val="0"/>
          <w:numId w:val="0"/>
        </w:numPr>
        <w:spacing w:line="360" w:lineRule="auto"/>
        <w:ind w:firstLine="3120" w:firstLineChars="1300"/>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spacing w:line="360" w:lineRule="auto"/>
        <w:ind w:firstLine="3600" w:firstLineChars="1500"/>
        <w:rPr>
          <w:rFonts w:ascii="宋体" w:hAnsi="宋体"/>
          <w:b/>
          <w:color w:val="auto"/>
          <w:sz w:val="22"/>
          <w:szCs w:val="20"/>
          <w:highlight w:val="none"/>
        </w:r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pPr>
        <w:spacing w:line="440" w:lineRule="exact"/>
        <w:ind w:firstLine="500" w:firstLineChars="250"/>
        <w:jc w:val="center"/>
        <w:rPr>
          <w:rFonts w:eastAsia="黑体"/>
          <w:color w:val="auto"/>
          <w:sz w:val="20"/>
          <w:szCs w:val="20"/>
          <w:highlight w:val="none"/>
        </w:rPr>
      </w:pPr>
      <w:r>
        <w:rPr>
          <w:rFonts w:eastAsia="黑体"/>
          <w:color w:val="auto"/>
          <w:sz w:val="20"/>
          <w:szCs w:val="20"/>
          <w:highlight w:val="none"/>
        </w:rPr>
        <w:br w:type="page"/>
      </w:r>
    </w:p>
    <w:p>
      <w:pPr>
        <w:pStyle w:val="5"/>
        <w:spacing w:before="120" w:after="120" w:line="360" w:lineRule="auto"/>
        <w:jc w:val="center"/>
        <w:rPr>
          <w:rFonts w:ascii="宋体" w:hAnsi="宋体"/>
          <w:color w:val="auto"/>
          <w:sz w:val="24"/>
          <w:szCs w:val="24"/>
          <w:highlight w:val="none"/>
        </w:rPr>
      </w:pPr>
      <w:bookmarkStart w:id="572" w:name="_Toc246996374"/>
      <w:bookmarkStart w:id="573" w:name="_Toc18463"/>
      <w:bookmarkStart w:id="574" w:name="_Toc246997117"/>
      <w:bookmarkStart w:id="575" w:name="_Toc247085892"/>
      <w:r>
        <w:rPr>
          <w:rFonts w:hint="eastAsia" w:ascii="宋体" w:hAnsi="宋体"/>
          <w:color w:val="auto"/>
          <w:sz w:val="24"/>
          <w:szCs w:val="24"/>
          <w:highlight w:val="none"/>
        </w:rPr>
        <w:t>（四）</w:t>
      </w:r>
      <w:r>
        <w:rPr>
          <w:rFonts w:ascii="宋体" w:hAnsi="宋体"/>
          <w:color w:val="auto"/>
          <w:sz w:val="24"/>
          <w:szCs w:val="24"/>
          <w:highlight w:val="none"/>
        </w:rPr>
        <w:t>其他</w:t>
      </w:r>
      <w:r>
        <w:rPr>
          <w:rFonts w:hint="eastAsia" w:ascii="宋体" w:hAnsi="宋体"/>
          <w:color w:val="auto"/>
          <w:sz w:val="24"/>
          <w:szCs w:val="24"/>
          <w:highlight w:val="none"/>
        </w:rPr>
        <w:t>资格审查资</w:t>
      </w:r>
      <w:r>
        <w:rPr>
          <w:rFonts w:ascii="宋体" w:hAnsi="宋体"/>
          <w:color w:val="auto"/>
          <w:sz w:val="24"/>
          <w:szCs w:val="24"/>
          <w:highlight w:val="none"/>
        </w:rPr>
        <w:t>料</w:t>
      </w:r>
      <w:bookmarkEnd w:id="572"/>
      <w:bookmarkEnd w:id="573"/>
      <w:bookmarkEnd w:id="574"/>
      <w:bookmarkEnd w:id="575"/>
    </w:p>
    <w:p>
      <w:pPr>
        <w:ind w:firstLine="480" w:firstLineChars="200"/>
        <w:rPr>
          <w:color w:val="auto"/>
          <w:highlight w:val="none"/>
        </w:rPr>
      </w:pPr>
      <w:r>
        <w:rPr>
          <w:rFonts w:hint="eastAsia"/>
          <w:color w:val="auto"/>
          <w:highlight w:val="none"/>
        </w:rPr>
        <w:t>附响应人应认为能证明其能力的其他材料。</w:t>
      </w:r>
    </w:p>
    <w:p>
      <w:pPr>
        <w:spacing w:line="400" w:lineRule="atLeast"/>
        <w:ind w:left="-163" w:leftChars="-68" w:firstLine="640" w:firstLineChars="267"/>
        <w:rPr>
          <w:color w:val="auto"/>
          <w:szCs w:val="21"/>
          <w:highlight w:val="none"/>
        </w:rPr>
      </w:pPr>
    </w:p>
    <w:p>
      <w:pPr>
        <w:spacing w:line="440" w:lineRule="exact"/>
        <w:ind w:firstLine="560"/>
        <w:jc w:val="center"/>
        <w:rPr>
          <w:rFonts w:eastAsia="Tahoma"/>
          <w:color w:val="auto"/>
          <w:sz w:val="28"/>
          <w:szCs w:val="28"/>
          <w:highlight w:val="none"/>
        </w:rPr>
      </w:pPr>
      <w:r>
        <w:rPr>
          <w:color w:val="auto"/>
          <w:szCs w:val="21"/>
          <w:highlight w:val="none"/>
        </w:rPr>
        <w:br w:type="page"/>
      </w:r>
    </w:p>
    <w:p>
      <w:pPr>
        <w:pStyle w:val="4"/>
        <w:spacing w:before="240" w:after="120" w:line="360" w:lineRule="auto"/>
        <w:rPr>
          <w:rFonts w:ascii="宋体" w:hAnsi="宋体"/>
          <w:b w:val="0"/>
          <w:color w:val="auto"/>
          <w:sz w:val="28"/>
          <w:szCs w:val="28"/>
          <w:highlight w:val="none"/>
        </w:rPr>
      </w:pPr>
      <w:bookmarkStart w:id="576" w:name="_Toc24401"/>
      <w:bookmarkStart w:id="577" w:name="_Toc419015772"/>
      <w:r>
        <w:rPr>
          <w:rFonts w:hint="eastAsia" w:ascii="宋体" w:hAnsi="宋体"/>
          <w:b w:val="0"/>
          <w:color w:val="auto"/>
          <w:sz w:val="28"/>
          <w:szCs w:val="28"/>
          <w:highlight w:val="none"/>
        </w:rPr>
        <w:t>四</w:t>
      </w:r>
      <w:r>
        <w:rPr>
          <w:rFonts w:ascii="宋体" w:hAnsi="宋体"/>
          <w:b w:val="0"/>
          <w:color w:val="auto"/>
          <w:sz w:val="28"/>
          <w:szCs w:val="28"/>
          <w:highlight w:val="none"/>
        </w:rPr>
        <w:t xml:space="preserve">、 </w:t>
      </w:r>
      <w:r>
        <w:rPr>
          <w:rFonts w:hint="eastAsia" w:ascii="宋体" w:hAnsi="宋体"/>
          <w:b w:val="0"/>
          <w:color w:val="auto"/>
          <w:sz w:val="28"/>
          <w:szCs w:val="28"/>
          <w:highlight w:val="none"/>
        </w:rPr>
        <w:t>项目管理机构</w:t>
      </w:r>
      <w:bookmarkEnd w:id="576"/>
      <w:bookmarkEnd w:id="577"/>
    </w:p>
    <w:tbl>
      <w:tblPr>
        <w:tblStyle w:val="66"/>
        <w:tblW w:w="83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0" w:hRule="atLeast"/>
          <w:jc w:val="center"/>
        </w:trPr>
        <w:tc>
          <w:tcPr>
            <w:tcW w:w="8392" w:type="dxa"/>
          </w:tcPr>
          <w:p>
            <w:pPr>
              <w:ind w:firstLine="420"/>
              <w:jc w:val="center"/>
              <w:rPr>
                <w:color w:val="auto"/>
                <w:szCs w:val="21"/>
                <w:highlight w:val="none"/>
              </w:rPr>
            </w:pPr>
          </w:p>
          <w:p>
            <w:pPr>
              <w:ind w:firstLine="420"/>
              <w:jc w:val="center"/>
              <w:rPr>
                <w:color w:val="auto"/>
                <w:szCs w:val="21"/>
                <w:highlight w:val="none"/>
              </w:rPr>
            </w:pPr>
          </w:p>
          <w:p>
            <w:pPr>
              <w:ind w:firstLine="420"/>
              <w:jc w:val="center"/>
              <w:rPr>
                <w:color w:val="auto"/>
                <w:szCs w:val="21"/>
                <w:highlight w:val="none"/>
              </w:rPr>
            </w:pPr>
          </w:p>
          <w:p>
            <w:pPr>
              <w:ind w:firstLine="420"/>
              <w:jc w:val="center"/>
              <w:rPr>
                <w:color w:val="auto"/>
                <w:szCs w:val="21"/>
                <w:highlight w:val="none"/>
              </w:rPr>
            </w:pPr>
          </w:p>
          <w:p>
            <w:pPr>
              <w:ind w:firstLine="420"/>
              <w:jc w:val="center"/>
              <w:rPr>
                <w:color w:val="auto"/>
                <w:szCs w:val="21"/>
                <w:highlight w:val="none"/>
              </w:rPr>
            </w:pPr>
          </w:p>
          <w:p>
            <w:pPr>
              <w:numPr>
                <w:ilvl w:val="0"/>
                <w:numId w:val="6"/>
              </w:numPr>
              <w:ind w:left="360" w:hanging="360"/>
              <w:jc w:val="center"/>
              <w:rPr>
                <w:color w:val="auto"/>
                <w:szCs w:val="21"/>
                <w:highlight w:val="none"/>
              </w:rPr>
            </w:pPr>
            <w:r>
              <w:rPr>
                <w:rFonts w:hint="eastAsia"/>
                <w:color w:val="auto"/>
                <w:szCs w:val="21"/>
                <w:highlight w:val="none"/>
              </w:rPr>
              <w:t>响应人</w:t>
            </w:r>
            <w:r>
              <w:rPr>
                <w:color w:val="auto"/>
                <w:szCs w:val="21"/>
                <w:highlight w:val="none"/>
              </w:rPr>
              <w:t>企业组织机构框图</w:t>
            </w:r>
          </w:p>
          <w:p>
            <w:pPr>
              <w:ind w:firstLine="420"/>
              <w:rPr>
                <w:color w:val="auto"/>
                <w:szCs w:val="21"/>
                <w:highlight w:val="none"/>
              </w:rPr>
            </w:pPr>
          </w:p>
          <w:p>
            <w:pPr>
              <w:ind w:firstLine="420"/>
              <w:jc w:val="center"/>
              <w:rPr>
                <w:color w:val="auto"/>
                <w:szCs w:val="21"/>
                <w:highlight w:val="none"/>
              </w:rPr>
            </w:pPr>
            <w:r>
              <w:rPr>
                <w:color w:val="auto"/>
                <w:szCs w:val="21"/>
                <w:highlight w:val="none"/>
              </w:rPr>
              <w:t>（以框图方式表示，并可附简要说明）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59" w:hRule="atLeast"/>
          <w:jc w:val="center"/>
        </w:trPr>
        <w:tc>
          <w:tcPr>
            <w:tcW w:w="8392" w:type="dxa"/>
          </w:tcPr>
          <w:p>
            <w:pPr>
              <w:spacing w:line="360" w:lineRule="auto"/>
              <w:ind w:firstLine="420"/>
              <w:jc w:val="center"/>
              <w:rPr>
                <w:color w:val="auto"/>
                <w:szCs w:val="21"/>
                <w:highlight w:val="none"/>
              </w:rPr>
            </w:pPr>
          </w:p>
          <w:p>
            <w:pPr>
              <w:spacing w:line="360" w:lineRule="auto"/>
              <w:ind w:firstLine="420"/>
              <w:jc w:val="center"/>
              <w:rPr>
                <w:color w:val="auto"/>
                <w:szCs w:val="21"/>
                <w:highlight w:val="none"/>
              </w:rPr>
            </w:pPr>
          </w:p>
          <w:p>
            <w:pPr>
              <w:spacing w:line="360" w:lineRule="auto"/>
              <w:ind w:firstLine="420"/>
              <w:jc w:val="center"/>
              <w:rPr>
                <w:color w:val="auto"/>
                <w:szCs w:val="21"/>
                <w:highlight w:val="none"/>
              </w:rPr>
            </w:pPr>
          </w:p>
          <w:p>
            <w:pPr>
              <w:spacing w:line="360" w:lineRule="auto"/>
              <w:ind w:firstLine="420"/>
              <w:jc w:val="center"/>
              <w:rPr>
                <w:color w:val="auto"/>
                <w:szCs w:val="21"/>
                <w:highlight w:val="none"/>
              </w:rPr>
            </w:pPr>
          </w:p>
          <w:p>
            <w:pPr>
              <w:numPr>
                <w:ilvl w:val="0"/>
                <w:numId w:val="6"/>
              </w:numPr>
              <w:spacing w:line="360" w:lineRule="auto"/>
              <w:ind w:left="360" w:hanging="360"/>
              <w:jc w:val="center"/>
              <w:rPr>
                <w:color w:val="auto"/>
                <w:szCs w:val="21"/>
                <w:highlight w:val="none"/>
              </w:rPr>
            </w:pPr>
            <w:r>
              <w:rPr>
                <w:color w:val="auto"/>
                <w:szCs w:val="21"/>
                <w:highlight w:val="none"/>
              </w:rPr>
              <w:t>拟为本项目设置的工程管理组织机构框图</w:t>
            </w:r>
          </w:p>
          <w:p>
            <w:pPr>
              <w:spacing w:line="360" w:lineRule="auto"/>
              <w:ind w:firstLine="420"/>
              <w:jc w:val="center"/>
              <w:rPr>
                <w:color w:val="auto"/>
                <w:szCs w:val="21"/>
                <w:highlight w:val="none"/>
              </w:rPr>
            </w:pPr>
            <w:r>
              <w:rPr>
                <w:color w:val="auto"/>
                <w:szCs w:val="21"/>
                <w:highlight w:val="none"/>
              </w:rPr>
              <w:t>（以框图方式表示，并可附简要说明）</w:t>
            </w:r>
          </w:p>
        </w:tc>
      </w:tr>
    </w:tbl>
    <w:p>
      <w:pPr>
        <w:spacing w:line="480" w:lineRule="auto"/>
        <w:ind w:left="487" w:hanging="487" w:hangingChars="202"/>
        <w:jc w:val="left"/>
        <w:rPr>
          <w:b/>
          <w:color w:val="auto"/>
          <w:szCs w:val="21"/>
          <w:highlight w:val="none"/>
        </w:rPr>
      </w:pPr>
      <w:r>
        <w:rPr>
          <w:b/>
          <w:color w:val="auto"/>
          <w:szCs w:val="21"/>
          <w:highlight w:val="none"/>
        </w:rPr>
        <w:t>注：</w:t>
      </w:r>
      <w:r>
        <w:rPr>
          <w:rFonts w:hint="eastAsia"/>
          <w:b/>
          <w:color w:val="auto"/>
          <w:szCs w:val="21"/>
          <w:highlight w:val="none"/>
        </w:rPr>
        <w:t>响应人</w:t>
      </w:r>
      <w:r>
        <w:rPr>
          <w:b/>
          <w:color w:val="auto"/>
          <w:szCs w:val="21"/>
          <w:highlight w:val="none"/>
        </w:rPr>
        <w:t>应如实以框图形式详细列出关联企业或母子公司的情况</w:t>
      </w:r>
      <w:r>
        <w:rPr>
          <w:rFonts w:hint="eastAsia"/>
          <w:b/>
          <w:color w:val="auto"/>
          <w:sz w:val="22"/>
          <w:szCs w:val="20"/>
          <w:highlight w:val="none"/>
          <w:lang w:val="en-US" w:eastAsia="zh-CN"/>
        </w:rPr>
        <w:t>并盖公章</w:t>
      </w:r>
      <w:r>
        <w:rPr>
          <w:b/>
          <w:color w:val="auto"/>
          <w:szCs w:val="21"/>
          <w:highlight w:val="none"/>
        </w:rPr>
        <w:t>。</w:t>
      </w:r>
    </w:p>
    <w:p>
      <w:pPr>
        <w:spacing w:line="360" w:lineRule="auto"/>
        <w:ind w:firstLine="2880" w:firstLineChars="1200"/>
        <w:rPr>
          <w:rFonts w:hint="eastAsia"/>
          <w:color w:val="auto"/>
          <w:highlight w:val="none"/>
        </w:rPr>
      </w:pPr>
    </w:p>
    <w:p>
      <w:pPr>
        <w:spacing w:line="360" w:lineRule="auto"/>
        <w:ind w:firstLine="2880" w:firstLineChars="1200"/>
        <w:rPr>
          <w:rFonts w:hint="eastAsia"/>
          <w:color w:val="auto"/>
          <w:highlight w:val="none"/>
        </w:rPr>
      </w:pPr>
    </w:p>
    <w:p>
      <w:pPr>
        <w:spacing w:line="360" w:lineRule="auto"/>
        <w:ind w:firstLine="2880" w:firstLineChars="1200"/>
        <w:rPr>
          <w:rFonts w:hint="eastAsia"/>
          <w:color w:val="auto"/>
          <w:highlight w:val="none"/>
        </w:rPr>
      </w:pPr>
    </w:p>
    <w:p>
      <w:pPr>
        <w:spacing w:line="360" w:lineRule="auto"/>
        <w:ind w:firstLine="2880" w:firstLineChars="1200"/>
        <w:rPr>
          <w:rFonts w:hint="eastAsia"/>
          <w:color w:val="auto"/>
          <w:highlight w:val="none"/>
        </w:rPr>
      </w:pPr>
    </w:p>
    <w:p>
      <w:pPr>
        <w:spacing w:line="360" w:lineRule="auto"/>
        <w:ind w:firstLine="2880" w:firstLineChars="1200"/>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widowControl/>
        <w:autoSpaceDE w:val="0"/>
        <w:autoSpaceDN w:val="0"/>
        <w:spacing w:line="240" w:lineRule="atLeast"/>
        <w:ind w:left="960" w:leftChars="400" w:firstLine="2812" w:firstLineChars="1172"/>
        <w:textAlignment w:val="bottom"/>
        <w:rPr>
          <w:color w:val="auto"/>
          <w:highlight w:val="none"/>
          <w:u w:val="single"/>
        </w:rPr>
      </w:pPr>
    </w:p>
    <w:p>
      <w:pPr>
        <w:widowControl/>
        <w:autoSpaceDE w:val="0"/>
        <w:autoSpaceDN w:val="0"/>
        <w:spacing w:line="240" w:lineRule="atLeast"/>
        <w:ind w:left="960" w:leftChars="400" w:firstLine="2812" w:firstLineChars="1172"/>
        <w:textAlignment w:val="bottom"/>
        <w:rPr>
          <w:color w:val="auto"/>
          <w:sz w:val="28"/>
          <w:szCs w:val="28"/>
          <w:highlight w:val="none"/>
        </w:r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r>
        <w:rPr>
          <w:rFonts w:eastAsia="Tahoma"/>
          <w:color w:val="auto"/>
          <w:highlight w:val="none"/>
        </w:rPr>
        <w:br w:type="page"/>
      </w:r>
      <w:r>
        <w:rPr>
          <w:rFonts w:hint="eastAsia"/>
          <w:color w:val="auto"/>
          <w:sz w:val="28"/>
          <w:szCs w:val="28"/>
          <w:highlight w:val="none"/>
        </w:rPr>
        <w:t>附：</w:t>
      </w:r>
      <w:r>
        <w:rPr>
          <w:rFonts w:hint="eastAsia"/>
          <w:color w:val="auto"/>
          <w:sz w:val="28"/>
          <w:szCs w:val="28"/>
          <w:highlight w:val="none"/>
          <w:lang w:eastAsia="zh-CN"/>
        </w:rPr>
        <w:t>施工负责人</w:t>
      </w:r>
      <w:r>
        <w:rPr>
          <w:rFonts w:hint="eastAsia"/>
          <w:color w:val="auto"/>
          <w:sz w:val="28"/>
          <w:szCs w:val="28"/>
          <w:highlight w:val="none"/>
        </w:rPr>
        <w:t>资历表</w:t>
      </w:r>
    </w:p>
    <w:p>
      <w:pPr>
        <w:pStyle w:val="5"/>
        <w:spacing w:before="120" w:after="120" w:line="360" w:lineRule="auto"/>
        <w:jc w:val="center"/>
        <w:rPr>
          <w:rFonts w:ascii="宋体" w:hAnsi="宋体"/>
          <w:color w:val="auto"/>
          <w:sz w:val="24"/>
          <w:szCs w:val="24"/>
          <w:highlight w:val="none"/>
        </w:rPr>
      </w:pPr>
      <w:bookmarkStart w:id="578" w:name="_Toc7867"/>
      <w:r>
        <w:rPr>
          <w:rFonts w:hint="eastAsia" w:ascii="宋体" w:hAnsi="宋体"/>
          <w:color w:val="auto"/>
          <w:sz w:val="24"/>
          <w:szCs w:val="24"/>
          <w:highlight w:val="none"/>
          <w:lang w:eastAsia="zh-CN"/>
        </w:rPr>
        <w:t>施工负责人</w:t>
      </w:r>
      <w:r>
        <w:rPr>
          <w:rFonts w:hint="eastAsia" w:ascii="宋体" w:hAnsi="宋体"/>
          <w:color w:val="auto"/>
          <w:sz w:val="24"/>
          <w:szCs w:val="24"/>
          <w:highlight w:val="none"/>
        </w:rPr>
        <w:t>资历表</w:t>
      </w:r>
      <w:bookmarkEnd w:id="578"/>
    </w:p>
    <w:tbl>
      <w:tblPr>
        <w:tblStyle w:val="66"/>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1234"/>
        <w:gridCol w:w="139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姓名</w:t>
            </w:r>
          </w:p>
        </w:tc>
        <w:tc>
          <w:tcPr>
            <w:tcW w:w="559"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585"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性别</w:t>
            </w:r>
          </w:p>
        </w:tc>
        <w:tc>
          <w:tcPr>
            <w:tcW w:w="695"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567"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年龄</w:t>
            </w:r>
          </w:p>
        </w:tc>
        <w:tc>
          <w:tcPr>
            <w:tcW w:w="865"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567"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学位</w:t>
            </w:r>
          </w:p>
        </w:tc>
        <w:tc>
          <w:tcPr>
            <w:tcW w:w="747"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1234"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身份证号码</w:t>
            </w:r>
          </w:p>
        </w:tc>
        <w:tc>
          <w:tcPr>
            <w:tcW w:w="1398"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职称</w:t>
            </w:r>
          </w:p>
        </w:tc>
        <w:tc>
          <w:tcPr>
            <w:tcW w:w="559"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1847"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为</w:t>
            </w:r>
            <w:r>
              <w:rPr>
                <w:rFonts w:hint="eastAsia" w:ascii="仿宋" w:hAnsi="仿宋" w:eastAsia="仿宋"/>
                <w:color w:val="auto"/>
                <w:szCs w:val="21"/>
                <w:highlight w:val="none"/>
              </w:rPr>
              <w:t>响应人</w:t>
            </w:r>
            <w:r>
              <w:rPr>
                <w:rFonts w:ascii="仿宋" w:hAnsi="仿宋" w:eastAsia="仿宋"/>
                <w:color w:val="auto"/>
                <w:szCs w:val="21"/>
                <w:highlight w:val="none"/>
              </w:rPr>
              <w:t>服务时间（</w:t>
            </w:r>
            <w:r>
              <w:rPr>
                <w:rFonts w:hint="eastAsia" w:ascii="仿宋" w:hAnsi="仿宋" w:eastAsia="仿宋"/>
                <w:color w:val="auto"/>
                <w:szCs w:val="21"/>
                <w:highlight w:val="none"/>
              </w:rPr>
              <w:t>年</w:t>
            </w:r>
            <w:r>
              <w:rPr>
                <w:rFonts w:ascii="仿宋" w:hAnsi="仿宋" w:eastAsia="仿宋"/>
                <w:color w:val="auto"/>
                <w:szCs w:val="21"/>
                <w:highlight w:val="none"/>
              </w:rPr>
              <w:t>）</w:t>
            </w:r>
          </w:p>
        </w:tc>
        <w:tc>
          <w:tcPr>
            <w:tcW w:w="865"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2548"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在本合同中拟任职</w:t>
            </w:r>
          </w:p>
        </w:tc>
        <w:tc>
          <w:tcPr>
            <w:tcW w:w="1398"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学历</w:t>
            </w:r>
          </w:p>
        </w:tc>
        <w:tc>
          <w:tcPr>
            <w:tcW w:w="7217" w:type="dxa"/>
            <w:gridSpan w:val="9"/>
            <w:noWrap w:val="0"/>
            <w:vAlign w:val="center"/>
          </w:tcPr>
          <w:p>
            <w:pPr>
              <w:widowControl/>
              <w:autoSpaceDE w:val="0"/>
              <w:autoSpaceDN w:val="0"/>
              <w:spacing w:line="360" w:lineRule="atLeast"/>
              <w:textAlignment w:val="bottom"/>
              <w:rPr>
                <w:rFonts w:ascii="仿宋" w:hAnsi="仿宋" w:eastAsia="仿宋"/>
                <w:color w:val="auto"/>
                <w:szCs w:val="21"/>
                <w:highlight w:val="none"/>
              </w:rPr>
            </w:pPr>
            <w:r>
              <w:rPr>
                <w:rFonts w:hint="eastAsia" w:ascii="仿宋" w:hAnsi="仿宋" w:eastAsia="仿宋"/>
                <w:color w:val="auto"/>
                <w:szCs w:val="21"/>
                <w:highlight w:val="none"/>
                <w:u w:val="single"/>
              </w:rPr>
              <w:t xml:space="preserve">        </w:t>
            </w:r>
            <w:r>
              <w:rPr>
                <w:rFonts w:hint="eastAsia" w:ascii="仿宋" w:hAnsi="仿宋" w:eastAsia="仿宋"/>
                <w:color w:val="auto"/>
                <w:szCs w:val="21"/>
                <w:highlight w:val="none"/>
              </w:rPr>
              <w:t>~</w:t>
            </w:r>
            <w:r>
              <w:rPr>
                <w:rFonts w:hint="eastAsia" w:ascii="仿宋" w:hAnsi="仿宋" w:eastAsia="仿宋"/>
                <w:color w:val="auto"/>
                <w:szCs w:val="21"/>
                <w:highlight w:val="none"/>
                <w:u w:val="single"/>
              </w:rPr>
              <w:t xml:space="preserve">           </w:t>
            </w:r>
            <w:r>
              <w:rPr>
                <w:rFonts w:hint="eastAsia" w:ascii="仿宋" w:hAnsi="仿宋" w:eastAsia="仿宋"/>
                <w:color w:val="auto"/>
                <w:szCs w:val="21"/>
                <w:highlight w:val="none"/>
              </w:rPr>
              <w:t xml:space="preserve"> </w:t>
            </w:r>
            <w:r>
              <w:rPr>
                <w:rFonts w:ascii="仿宋" w:hAnsi="仿宋" w:eastAsia="仿宋"/>
                <w:color w:val="auto"/>
                <w:szCs w:val="21"/>
                <w:highlight w:val="none"/>
              </w:rPr>
              <w:t>年毕业于</w:t>
            </w:r>
            <w:r>
              <w:rPr>
                <w:rFonts w:ascii="仿宋" w:hAnsi="仿宋" w:eastAsia="仿宋"/>
                <w:color w:val="auto"/>
                <w:szCs w:val="21"/>
                <w:highlight w:val="none"/>
                <w:u w:val="single"/>
              </w:rPr>
              <w:t xml:space="preserve">        </w:t>
            </w:r>
            <w:r>
              <w:rPr>
                <w:rFonts w:ascii="仿宋" w:hAnsi="仿宋" w:eastAsia="仿宋"/>
                <w:color w:val="auto"/>
                <w:szCs w:val="21"/>
                <w:highlight w:val="none"/>
              </w:rPr>
              <w:t>（学校）</w:t>
            </w:r>
            <w:r>
              <w:rPr>
                <w:rFonts w:ascii="仿宋" w:hAnsi="仿宋" w:eastAsia="仿宋"/>
                <w:color w:val="auto"/>
                <w:szCs w:val="21"/>
                <w:highlight w:val="none"/>
                <w:u w:val="single"/>
              </w:rPr>
              <w:t xml:space="preserve">         </w:t>
            </w:r>
            <w:r>
              <w:rPr>
                <w:rFonts w:ascii="仿宋" w:hAnsi="仿宋" w:eastAsia="仿宋"/>
                <w:color w:val="auto"/>
                <w:szCs w:val="21"/>
                <w:highlight w:val="none"/>
              </w:rPr>
              <w:t>（专业）</w:t>
            </w:r>
            <w:r>
              <w:rPr>
                <w:rFonts w:hint="eastAsia" w:ascii="仿宋" w:hAnsi="仿宋" w:eastAsia="仿宋"/>
                <w:color w:val="auto"/>
                <w:szCs w:val="21"/>
                <w:highlight w:val="none"/>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noWrap w:val="0"/>
            <w:vAlign w:val="center"/>
          </w:tcPr>
          <w:p>
            <w:pPr>
              <w:widowControl/>
              <w:autoSpaceDE w:val="0"/>
              <w:autoSpaceDN w:val="0"/>
              <w:spacing w:line="360" w:lineRule="atLeast"/>
              <w:jc w:val="center"/>
              <w:textAlignment w:val="bottom"/>
              <w:rPr>
                <w:rFonts w:hint="eastAsia" w:ascii="仿宋" w:hAnsi="仿宋" w:eastAsia="仿宋"/>
                <w:color w:val="auto"/>
                <w:szCs w:val="21"/>
                <w:highlight w:val="none"/>
              </w:rPr>
            </w:pPr>
            <w:r>
              <w:rPr>
                <w:rFonts w:ascii="仿宋" w:hAnsi="仿宋" w:eastAsia="仿宋"/>
                <w:color w:val="auto"/>
                <w:szCs w:val="21"/>
                <w:highlight w:val="none"/>
              </w:rPr>
              <w:t xml:space="preserve">2. </w:t>
            </w:r>
            <w:r>
              <w:rPr>
                <w:rFonts w:hint="eastAsia" w:ascii="仿宋" w:hAnsi="仿宋" w:eastAsia="仿宋"/>
                <w:color w:val="auto"/>
                <w:szCs w:val="21"/>
                <w:highlight w:val="none"/>
              </w:rPr>
              <w:t>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hint="eastAsia" w:ascii="仿宋" w:hAnsi="仿宋" w:eastAsia="仿宋"/>
                <w:color w:val="auto"/>
                <w:szCs w:val="21"/>
                <w:highlight w:val="none"/>
              </w:rPr>
              <w:t>序号</w:t>
            </w:r>
          </w:p>
        </w:tc>
        <w:tc>
          <w:tcPr>
            <w:tcW w:w="1563"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ascii="仿宋" w:hAnsi="仿宋" w:eastAsia="仿宋"/>
                <w:color w:val="auto"/>
                <w:szCs w:val="21"/>
                <w:highlight w:val="none"/>
              </w:rPr>
              <w:t>负责过的</w:t>
            </w:r>
            <w:r>
              <w:rPr>
                <w:rFonts w:hint="eastAsia" w:ascii="仿宋" w:hAnsi="仿宋" w:eastAsia="仿宋"/>
                <w:color w:val="auto"/>
                <w:szCs w:val="21"/>
                <w:highlight w:val="none"/>
              </w:rPr>
              <w:t>项目</w:t>
            </w:r>
          </w:p>
        </w:tc>
        <w:tc>
          <w:tcPr>
            <w:tcW w:w="2127"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hint="eastAsia" w:ascii="仿宋" w:hAnsi="仿宋" w:eastAsia="仿宋"/>
                <w:color w:val="auto"/>
                <w:szCs w:val="21"/>
                <w:highlight w:val="none"/>
              </w:rPr>
              <w:t>完成日期</w:t>
            </w:r>
          </w:p>
          <w:p>
            <w:pPr>
              <w:widowControl/>
              <w:autoSpaceDE w:val="0"/>
              <w:autoSpaceDN w:val="0"/>
              <w:spacing w:line="360" w:lineRule="atLeast"/>
              <w:jc w:val="center"/>
              <w:textAlignment w:val="bottom"/>
              <w:rPr>
                <w:rFonts w:ascii="仿宋" w:hAnsi="仿宋" w:eastAsia="仿宋"/>
                <w:color w:val="auto"/>
                <w:szCs w:val="21"/>
                <w:highlight w:val="none"/>
              </w:rPr>
            </w:pPr>
            <w:r>
              <w:rPr>
                <w:rFonts w:hint="eastAsia" w:ascii="仿宋" w:hAnsi="仿宋" w:eastAsia="仿宋"/>
                <w:color w:val="auto"/>
                <w:szCs w:val="21"/>
                <w:highlight w:val="none"/>
              </w:rPr>
              <w:t>（年/月）</w:t>
            </w:r>
          </w:p>
        </w:tc>
        <w:tc>
          <w:tcPr>
            <w:tcW w:w="3946" w:type="dxa"/>
            <w:gridSpan w:val="4"/>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r>
              <w:rPr>
                <w:rFonts w:hint="eastAsia" w:ascii="仿宋" w:hAnsi="仿宋" w:eastAsia="仿宋"/>
                <w:color w:val="auto"/>
                <w:szCs w:val="21"/>
                <w:highlight w:val="none"/>
              </w:rPr>
              <w:t>项目基本情况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textAlignment w:val="bottom"/>
              <w:rPr>
                <w:rFonts w:hint="eastAsia" w:ascii="仿宋" w:hAnsi="仿宋" w:eastAsia="仿宋"/>
                <w:color w:val="auto"/>
                <w:szCs w:val="21"/>
                <w:highlight w:val="none"/>
              </w:rPr>
            </w:pPr>
            <w:r>
              <w:rPr>
                <w:rFonts w:hint="eastAsia" w:ascii="仿宋" w:hAnsi="仿宋" w:eastAsia="仿宋"/>
                <w:color w:val="auto"/>
                <w:szCs w:val="21"/>
                <w:highlight w:val="none"/>
              </w:rPr>
              <w:t xml:space="preserve"> </w:t>
            </w:r>
            <w:r>
              <w:rPr>
                <w:rFonts w:ascii="仿宋" w:hAnsi="仿宋" w:eastAsia="仿宋"/>
                <w:color w:val="auto"/>
                <w:szCs w:val="21"/>
                <w:highlight w:val="none"/>
              </w:rPr>
              <w:t xml:space="preserve">      </w:t>
            </w:r>
          </w:p>
        </w:tc>
        <w:tc>
          <w:tcPr>
            <w:tcW w:w="2127" w:type="dxa"/>
            <w:gridSpan w:val="3"/>
            <w:noWrap w:val="0"/>
            <w:vAlign w:val="center"/>
          </w:tcPr>
          <w:p>
            <w:pPr>
              <w:widowControl/>
              <w:autoSpaceDE w:val="0"/>
              <w:autoSpaceDN w:val="0"/>
              <w:spacing w:line="360" w:lineRule="atLeast"/>
              <w:textAlignment w:val="bottom"/>
              <w:rPr>
                <w:rFonts w:hint="eastAsia"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2127"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2127" w:type="dxa"/>
            <w:gridSpan w:val="3"/>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2127"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2127"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1563"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2127" w:type="dxa"/>
            <w:gridSpan w:val="3"/>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c>
          <w:tcPr>
            <w:tcW w:w="3946" w:type="dxa"/>
            <w:gridSpan w:val="4"/>
            <w:noWrap w:val="0"/>
            <w:vAlign w:val="center"/>
          </w:tcPr>
          <w:p>
            <w:pPr>
              <w:widowControl/>
              <w:autoSpaceDE w:val="0"/>
              <w:autoSpaceDN w:val="0"/>
              <w:spacing w:line="360" w:lineRule="atLeast"/>
              <w:ind w:firstLine="181"/>
              <w:jc w:val="center"/>
              <w:textAlignment w:val="bottom"/>
              <w:rPr>
                <w:rFonts w:ascii="仿宋" w:hAnsi="仿宋" w:eastAsia="仿宋"/>
                <w:color w:val="auto"/>
                <w:szCs w:val="21"/>
                <w:highlight w:val="none"/>
              </w:rPr>
            </w:pPr>
          </w:p>
        </w:tc>
      </w:tr>
    </w:tbl>
    <w:p>
      <w:pPr>
        <w:spacing w:line="480" w:lineRule="auto"/>
        <w:ind w:left="487" w:hanging="487" w:hangingChars="202"/>
        <w:jc w:val="left"/>
        <w:rPr>
          <w:b/>
          <w:color w:val="auto"/>
          <w:sz w:val="22"/>
          <w:szCs w:val="20"/>
          <w:highlight w:val="none"/>
        </w:rPr>
      </w:pPr>
      <w:r>
        <w:rPr>
          <w:b/>
          <w:color w:val="auto"/>
          <w:szCs w:val="21"/>
          <w:highlight w:val="none"/>
        </w:rPr>
        <w:t>注：</w:t>
      </w:r>
      <w:r>
        <w:rPr>
          <w:rFonts w:hint="eastAsia"/>
          <w:b/>
          <w:color w:val="auto"/>
          <w:sz w:val="22"/>
          <w:szCs w:val="20"/>
          <w:highlight w:val="none"/>
        </w:rPr>
        <w:t>本表后应附拟委任的</w:t>
      </w:r>
      <w:r>
        <w:rPr>
          <w:rFonts w:hint="eastAsia"/>
          <w:b/>
          <w:color w:val="auto"/>
          <w:sz w:val="22"/>
          <w:szCs w:val="20"/>
          <w:highlight w:val="none"/>
          <w:lang w:eastAsia="zh-CN"/>
        </w:rPr>
        <w:t>施工负责人</w:t>
      </w:r>
      <w:r>
        <w:rPr>
          <w:b/>
          <w:color w:val="auto"/>
          <w:sz w:val="22"/>
          <w:szCs w:val="20"/>
          <w:highlight w:val="none"/>
        </w:rPr>
        <w:t>的身份证</w:t>
      </w:r>
      <w:r>
        <w:rPr>
          <w:rFonts w:hint="eastAsia"/>
          <w:b/>
          <w:color w:val="auto"/>
          <w:sz w:val="22"/>
          <w:szCs w:val="20"/>
          <w:highlight w:val="none"/>
        </w:rPr>
        <w:t>、</w:t>
      </w:r>
      <w:r>
        <w:rPr>
          <w:b/>
          <w:color w:val="auto"/>
          <w:sz w:val="22"/>
          <w:szCs w:val="20"/>
          <w:highlight w:val="none"/>
        </w:rPr>
        <w:t>职称</w:t>
      </w:r>
      <w:r>
        <w:rPr>
          <w:rFonts w:hint="eastAsia"/>
          <w:b/>
          <w:color w:val="auto"/>
          <w:sz w:val="22"/>
          <w:szCs w:val="20"/>
          <w:highlight w:val="none"/>
        </w:rPr>
        <w:t>证</w:t>
      </w:r>
      <w:r>
        <w:rPr>
          <w:rFonts w:hint="eastAsia"/>
          <w:b/>
          <w:color w:val="auto"/>
          <w:sz w:val="22"/>
          <w:szCs w:val="20"/>
          <w:highlight w:val="none"/>
          <w:lang w:val="en-US" w:eastAsia="zh-CN"/>
        </w:rPr>
        <w:t>或</w:t>
      </w:r>
      <w:r>
        <w:rPr>
          <w:b/>
          <w:color w:val="auto"/>
          <w:sz w:val="22"/>
          <w:szCs w:val="20"/>
          <w:highlight w:val="none"/>
        </w:rPr>
        <w:t>资格证书以及其他相关证书</w:t>
      </w:r>
      <w:r>
        <w:rPr>
          <w:rFonts w:hint="eastAsia"/>
          <w:b/>
          <w:color w:val="auto"/>
          <w:sz w:val="22"/>
          <w:szCs w:val="20"/>
          <w:highlight w:val="none"/>
        </w:rPr>
        <w:t>（如有）</w:t>
      </w:r>
      <w:r>
        <w:rPr>
          <w:b/>
          <w:color w:val="auto"/>
          <w:sz w:val="22"/>
          <w:szCs w:val="20"/>
          <w:highlight w:val="none"/>
        </w:rPr>
        <w:t>的复印件</w:t>
      </w:r>
      <w:r>
        <w:rPr>
          <w:rFonts w:hint="eastAsia"/>
          <w:b/>
          <w:color w:val="auto"/>
          <w:sz w:val="22"/>
          <w:szCs w:val="20"/>
          <w:highlight w:val="none"/>
          <w:lang w:val="en-US" w:eastAsia="zh-CN"/>
        </w:rPr>
        <w:t>并盖公章</w:t>
      </w:r>
      <w:r>
        <w:rPr>
          <w:rFonts w:hint="eastAsia"/>
          <w:b/>
          <w:color w:val="auto"/>
          <w:sz w:val="22"/>
          <w:szCs w:val="20"/>
          <w:highlight w:val="none"/>
        </w:rPr>
        <w:t>。</w:t>
      </w:r>
    </w:p>
    <w:p>
      <w:pPr>
        <w:spacing w:before="120" w:beforeLines="50"/>
        <w:ind w:firstLine="90" w:firstLineChars="50"/>
        <w:rPr>
          <w:rFonts w:ascii="宋体" w:hAnsi="宋体"/>
          <w:color w:val="auto"/>
          <w:sz w:val="18"/>
          <w:szCs w:val="18"/>
          <w:highlight w:val="none"/>
        </w:rPr>
      </w:pPr>
    </w:p>
    <w:p>
      <w:pPr>
        <w:spacing w:line="360" w:lineRule="auto"/>
        <w:ind w:firstLine="2880" w:firstLineChars="1200"/>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widowControl/>
        <w:autoSpaceDE w:val="0"/>
        <w:autoSpaceDN w:val="0"/>
        <w:spacing w:line="240" w:lineRule="atLeast"/>
        <w:ind w:left="960" w:leftChars="400" w:firstLine="2812" w:firstLineChars="1172"/>
        <w:textAlignment w:val="bottom"/>
        <w:rPr>
          <w:color w:val="auto"/>
          <w:highlight w:val="none"/>
          <w:u w:val="single"/>
        </w:rPr>
      </w:pPr>
    </w:p>
    <w:p>
      <w:pPr>
        <w:spacing w:line="440" w:lineRule="exact"/>
        <w:ind w:firstLine="3360" w:firstLineChars="1400"/>
        <w:rPr>
          <w:color w:val="auto"/>
          <w:highlight w:val="none"/>
        </w:rPr>
        <w:sectPr>
          <w:footerReference r:id="rId5" w:type="default"/>
          <w:footnotePr>
            <w:numFmt w:val="decimalEnclosedCircleChinese"/>
            <w:numRestart w:val="eachPage"/>
          </w:footnotePr>
          <w:pgSz w:w="11906" w:h="16838"/>
          <w:pgMar w:top="1588" w:right="1644" w:bottom="1474" w:left="1701" w:header="1134" w:footer="1418" w:gutter="0"/>
          <w:pgNumType w:start="1"/>
          <w:cols w:space="720" w:num="1"/>
          <w:docGrid w:linePitch="312" w:charSpace="0"/>
        </w:sectPr>
      </w:pP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r>
        <w:rPr>
          <w:rFonts w:eastAsia="Tahoma"/>
          <w:color w:val="auto"/>
          <w:highlight w:val="none"/>
        </w:rPr>
        <w:br w:type="page"/>
      </w:r>
    </w:p>
    <w:p>
      <w:pPr>
        <w:pStyle w:val="4"/>
        <w:spacing w:before="240" w:after="120" w:line="360" w:lineRule="auto"/>
        <w:rPr>
          <w:rFonts w:ascii="宋体" w:hAnsi="宋体"/>
          <w:b w:val="0"/>
          <w:color w:val="auto"/>
          <w:sz w:val="28"/>
          <w:szCs w:val="28"/>
          <w:highlight w:val="none"/>
        </w:rPr>
      </w:pPr>
      <w:bookmarkStart w:id="579" w:name="_Toc419015773"/>
      <w:bookmarkStart w:id="580" w:name="_Toc26863"/>
      <w:r>
        <w:rPr>
          <w:rFonts w:hint="eastAsia" w:ascii="宋体" w:hAnsi="宋体"/>
          <w:b w:val="0"/>
          <w:color w:val="auto"/>
          <w:sz w:val="28"/>
          <w:szCs w:val="28"/>
          <w:highlight w:val="none"/>
        </w:rPr>
        <w:t>五</w:t>
      </w:r>
      <w:r>
        <w:rPr>
          <w:rFonts w:ascii="宋体" w:hAnsi="宋体"/>
          <w:b w:val="0"/>
          <w:color w:val="auto"/>
          <w:sz w:val="28"/>
          <w:szCs w:val="28"/>
          <w:highlight w:val="none"/>
        </w:rPr>
        <w:t xml:space="preserve">、 </w:t>
      </w:r>
      <w:r>
        <w:rPr>
          <w:rFonts w:hint="eastAsia" w:ascii="宋体" w:hAnsi="宋体"/>
          <w:b w:val="0"/>
          <w:color w:val="auto"/>
          <w:sz w:val="28"/>
          <w:szCs w:val="28"/>
          <w:highlight w:val="none"/>
        </w:rPr>
        <w:t>施工组织</w:t>
      </w:r>
      <w:r>
        <w:rPr>
          <w:rFonts w:ascii="宋体" w:hAnsi="宋体"/>
          <w:b w:val="0"/>
          <w:color w:val="auto"/>
          <w:sz w:val="28"/>
          <w:szCs w:val="28"/>
          <w:highlight w:val="none"/>
        </w:rPr>
        <w:t>方案</w:t>
      </w:r>
      <w:bookmarkEnd w:id="579"/>
      <w:r>
        <w:rPr>
          <w:rFonts w:hint="eastAsia" w:ascii="宋体" w:hAnsi="宋体"/>
          <w:b w:val="0"/>
          <w:color w:val="auto"/>
          <w:sz w:val="28"/>
          <w:szCs w:val="28"/>
          <w:highlight w:val="none"/>
        </w:rPr>
        <w:t>及安全措施</w:t>
      </w:r>
      <w:bookmarkEnd w:id="580"/>
    </w:p>
    <w:p>
      <w:pPr>
        <w:pStyle w:val="35"/>
        <w:shd w:val="clear" w:color="auto" w:fill="FFFFFF"/>
        <w:adjustRightInd w:val="0"/>
        <w:snapToGrid w:val="0"/>
        <w:spacing w:line="360" w:lineRule="auto"/>
        <w:rPr>
          <w:rFonts w:hAnsi="宋体"/>
          <w:b/>
          <w:color w:val="auto"/>
          <w:sz w:val="28"/>
          <w:szCs w:val="28"/>
          <w:highlight w:val="none"/>
        </w:rPr>
      </w:pPr>
    </w:p>
    <w:p>
      <w:pPr>
        <w:pStyle w:val="35"/>
        <w:shd w:val="clear" w:color="auto" w:fill="FFFFFF"/>
        <w:adjustRightInd w:val="0"/>
        <w:snapToGrid w:val="0"/>
        <w:spacing w:line="360" w:lineRule="auto"/>
        <w:rPr>
          <w:rFonts w:hAnsi="宋体"/>
          <w:b/>
          <w:color w:val="auto"/>
          <w:sz w:val="28"/>
          <w:szCs w:val="28"/>
          <w:highlight w:val="none"/>
        </w:rPr>
      </w:pPr>
    </w:p>
    <w:p>
      <w:pPr>
        <w:rPr>
          <w:color w:val="auto"/>
          <w:highlight w:val="none"/>
        </w:rPr>
      </w:pPr>
    </w:p>
    <w:p>
      <w:pPr>
        <w:rPr>
          <w:color w:val="auto"/>
          <w:highlight w:val="none"/>
        </w:rPr>
      </w:pPr>
    </w:p>
    <w:p>
      <w:pPr>
        <w:pStyle w:val="4"/>
        <w:spacing w:before="240" w:after="120" w:line="360" w:lineRule="auto"/>
        <w:rPr>
          <w:rFonts w:ascii="宋体" w:hAnsi="宋体"/>
          <w:b w:val="0"/>
          <w:color w:val="auto"/>
          <w:sz w:val="28"/>
          <w:szCs w:val="28"/>
          <w:highlight w:val="none"/>
        </w:rPr>
      </w:pPr>
      <w:bookmarkStart w:id="581" w:name="_Toc419015778"/>
      <w:r>
        <w:rPr>
          <w:rFonts w:hint="eastAsia" w:ascii="宋体" w:hAnsi="宋体"/>
          <w:b w:val="0"/>
          <w:color w:val="auto"/>
          <w:sz w:val="28"/>
          <w:szCs w:val="28"/>
          <w:highlight w:val="none"/>
        </w:rPr>
        <w:br w:type="page"/>
      </w:r>
    </w:p>
    <w:p>
      <w:pPr>
        <w:pStyle w:val="4"/>
        <w:spacing w:before="240" w:after="120" w:line="360" w:lineRule="auto"/>
        <w:rPr>
          <w:rFonts w:ascii="宋体" w:hAnsi="宋体"/>
          <w:b w:val="0"/>
          <w:color w:val="auto"/>
          <w:sz w:val="28"/>
          <w:szCs w:val="28"/>
          <w:highlight w:val="none"/>
        </w:rPr>
      </w:pPr>
      <w:bookmarkStart w:id="582" w:name="_Toc27307"/>
      <w:r>
        <w:rPr>
          <w:rFonts w:hint="eastAsia" w:ascii="宋体" w:hAnsi="宋体"/>
          <w:b w:val="0"/>
          <w:color w:val="auto"/>
          <w:sz w:val="28"/>
          <w:szCs w:val="28"/>
          <w:highlight w:val="none"/>
        </w:rPr>
        <w:t>六、报价清单</w:t>
      </w:r>
      <w:bookmarkEnd w:id="581"/>
      <w:bookmarkEnd w:id="582"/>
    </w:p>
    <w:p>
      <w:pPr>
        <w:pStyle w:val="5"/>
        <w:spacing w:before="120" w:after="120" w:line="360" w:lineRule="auto"/>
        <w:jc w:val="left"/>
        <w:rPr>
          <w:rFonts w:ascii="宋体" w:hAnsi="宋体"/>
          <w:color w:val="auto"/>
          <w:sz w:val="24"/>
          <w:szCs w:val="24"/>
          <w:highlight w:val="none"/>
        </w:rPr>
      </w:pPr>
      <w:bookmarkStart w:id="583" w:name="_Toc419015779"/>
      <w:bookmarkStart w:id="584" w:name="_Toc5982"/>
      <w:r>
        <w:rPr>
          <w:rFonts w:hint="eastAsia" w:ascii="宋体" w:hAnsi="宋体"/>
          <w:color w:val="auto"/>
          <w:sz w:val="24"/>
          <w:szCs w:val="24"/>
          <w:highlight w:val="none"/>
        </w:rPr>
        <w:t>1. 工程量清单说明</w:t>
      </w:r>
      <w:bookmarkEnd w:id="583"/>
      <w:bookmarkEnd w:id="584"/>
    </w:p>
    <w:p>
      <w:pPr>
        <w:spacing w:line="360" w:lineRule="auto"/>
        <w:ind w:firstLine="482"/>
        <w:rPr>
          <w:color w:val="auto"/>
          <w:szCs w:val="24"/>
          <w:highlight w:val="none"/>
        </w:rPr>
      </w:pPr>
      <w:r>
        <w:rPr>
          <w:rFonts w:hint="eastAsia"/>
          <w:color w:val="auto"/>
          <w:szCs w:val="24"/>
          <w:highlight w:val="none"/>
        </w:rPr>
        <w:t>1.1工程量清单中的每一子目须填入单价，且只允许有一个报价。</w:t>
      </w:r>
    </w:p>
    <w:p>
      <w:pPr>
        <w:spacing w:line="360" w:lineRule="auto"/>
        <w:ind w:firstLine="482"/>
        <w:rPr>
          <w:color w:val="auto"/>
          <w:szCs w:val="24"/>
          <w:highlight w:val="none"/>
        </w:rPr>
      </w:pPr>
      <w:r>
        <w:rPr>
          <w:rFonts w:hint="eastAsia"/>
          <w:color w:val="auto"/>
          <w:szCs w:val="24"/>
          <w:highlight w:val="none"/>
        </w:rPr>
        <w:t>1.2 工程量清单中标价的单价或金额，应包括所需的方案设计费、安装图设计费、设备费、安装费、人工费、材料和施工机具使用费、企业管理费、利润、税金以及一定范围内的风险费用等。</w:t>
      </w:r>
    </w:p>
    <w:p>
      <w:pPr>
        <w:spacing w:line="360" w:lineRule="auto"/>
        <w:ind w:firstLine="482"/>
        <w:rPr>
          <w:color w:val="auto"/>
          <w:szCs w:val="24"/>
          <w:highlight w:val="none"/>
        </w:rPr>
      </w:pPr>
      <w:r>
        <w:rPr>
          <w:rFonts w:hint="eastAsia"/>
          <w:color w:val="auto"/>
          <w:szCs w:val="24"/>
          <w:highlight w:val="none"/>
        </w:rPr>
        <w:t>1.3 工程量清单中有工程量，但承包商没有填入单价的子目，其费用视为已分摊在工程量清单中其他相关子目的单价或总价之中。</w:t>
      </w:r>
    </w:p>
    <w:p>
      <w:pPr>
        <w:spacing w:line="360" w:lineRule="auto"/>
        <w:ind w:firstLine="482"/>
        <w:rPr>
          <w:color w:val="auto"/>
          <w:szCs w:val="24"/>
          <w:highlight w:val="none"/>
        </w:rPr>
      </w:pPr>
      <w:r>
        <w:rPr>
          <w:rFonts w:hint="eastAsia"/>
          <w:color w:val="auto"/>
          <w:szCs w:val="24"/>
          <w:highlight w:val="none"/>
        </w:rPr>
        <w:t>1.4工程量清单应与采购须知、合同条款、技术标准和要求等文件结合起来查阅与理解。</w:t>
      </w:r>
    </w:p>
    <w:p>
      <w:pPr>
        <w:spacing w:line="360" w:lineRule="auto"/>
        <w:ind w:firstLine="482"/>
        <w:rPr>
          <w:color w:val="auto"/>
          <w:szCs w:val="24"/>
          <w:highlight w:val="none"/>
        </w:rPr>
      </w:pPr>
      <w:r>
        <w:rPr>
          <w:rFonts w:hint="eastAsia"/>
          <w:color w:val="auto"/>
          <w:szCs w:val="24"/>
          <w:highlight w:val="none"/>
        </w:rPr>
        <w:t>1.5本工程量清单中所列工程数量是估算的或设计的预计数量，仅作为报价的共同基础，不能作为最终结算与支付的依据，实际支付应按实际完成的工程量。</w:t>
      </w:r>
    </w:p>
    <w:p>
      <w:pPr>
        <w:spacing w:line="360" w:lineRule="auto"/>
        <w:ind w:firstLine="482"/>
        <w:rPr>
          <w:color w:val="auto"/>
          <w:szCs w:val="24"/>
          <w:highlight w:val="none"/>
        </w:rPr>
      </w:pPr>
      <w:r>
        <w:rPr>
          <w:rFonts w:hint="eastAsia"/>
          <w:color w:val="auto"/>
          <w:szCs w:val="24"/>
          <w:highlight w:val="none"/>
        </w:rPr>
        <w:t>1.6工程量清单中所列工程量的变动，丝毫不会降低或影响合同条款的效力，也不免除承包商按规定的标准进行施工和修复缺陷的责任。</w:t>
      </w:r>
    </w:p>
    <w:p>
      <w:pPr>
        <w:spacing w:line="360" w:lineRule="auto"/>
        <w:ind w:firstLine="482"/>
        <w:rPr>
          <w:color w:val="auto"/>
          <w:szCs w:val="24"/>
          <w:highlight w:val="none"/>
        </w:rPr>
      </w:pPr>
      <w:r>
        <w:rPr>
          <w:rFonts w:hint="eastAsia"/>
          <w:color w:val="auto"/>
          <w:szCs w:val="24"/>
          <w:highlight w:val="none"/>
        </w:rPr>
        <w:t>1.7除非合同另有规定，工程量清单中所列项目均已包括了为实施和完成合同工程所需的一切费用，以及合同明示或暗示的所有责任、义务和一般风险。</w:t>
      </w:r>
    </w:p>
    <w:p>
      <w:pPr>
        <w:spacing w:line="360" w:lineRule="auto"/>
        <w:ind w:firstLine="482"/>
        <w:rPr>
          <w:color w:val="auto"/>
          <w:szCs w:val="24"/>
          <w:highlight w:val="none"/>
        </w:rPr>
      </w:pPr>
      <w:r>
        <w:rPr>
          <w:rFonts w:hint="eastAsia"/>
          <w:color w:val="auto"/>
          <w:szCs w:val="24"/>
          <w:highlight w:val="none"/>
        </w:rPr>
        <w:t>1.8工程量清单中各项金额均以人民币（元）结算。</w:t>
      </w:r>
    </w:p>
    <w:p>
      <w:pPr>
        <w:spacing w:line="360" w:lineRule="auto"/>
        <w:ind w:firstLine="482"/>
        <w:rPr>
          <w:color w:val="auto"/>
          <w:szCs w:val="24"/>
          <w:highlight w:val="none"/>
        </w:rPr>
      </w:pPr>
    </w:p>
    <w:p>
      <w:pPr>
        <w:spacing w:line="240" w:lineRule="exact"/>
        <w:ind w:firstLine="480"/>
        <w:rPr>
          <w:rFonts w:eastAsia="黑体"/>
          <w:color w:val="auto"/>
          <w:sz w:val="28"/>
          <w:highlight w:val="none"/>
        </w:rPr>
      </w:pPr>
      <w:r>
        <w:rPr>
          <w:color w:val="auto"/>
          <w:highlight w:val="none"/>
        </w:rPr>
        <w:br w:type="page"/>
      </w:r>
    </w:p>
    <w:bookmarkEnd w:id="557"/>
    <w:bookmarkEnd w:id="558"/>
    <w:bookmarkEnd w:id="559"/>
    <w:bookmarkEnd w:id="560"/>
    <w:bookmarkEnd w:id="561"/>
    <w:p>
      <w:pPr>
        <w:jc w:val="both"/>
        <w:rPr>
          <w:rFonts w:hint="eastAsia"/>
          <w:b/>
          <w:bCs/>
          <w:color w:val="auto"/>
          <w:sz w:val="28"/>
          <w:szCs w:val="28"/>
          <w:highlight w:val="none"/>
          <w:lang w:eastAsia="zh-CN"/>
        </w:rPr>
      </w:pPr>
      <w:bookmarkStart w:id="585" w:name="_Toc17085"/>
      <w:bookmarkStart w:id="586" w:name="_Toc419015780"/>
      <w:r>
        <w:rPr>
          <w:rFonts w:hint="eastAsia" w:ascii="宋体" w:hAnsi="宋体"/>
          <w:color w:val="auto"/>
          <w:sz w:val="24"/>
          <w:szCs w:val="24"/>
          <w:highlight w:val="none"/>
        </w:rPr>
        <w:t>2. 工程量清单表</w:t>
      </w:r>
      <w:bookmarkEnd w:id="585"/>
      <w:bookmarkEnd w:id="586"/>
    </w:p>
    <w:p>
      <w:pPr>
        <w:pStyle w:val="2"/>
        <w:ind w:left="0" w:leftChars="0" w:firstLine="0" w:firstLineChars="0"/>
        <w:rPr>
          <w:b/>
          <w:bCs/>
          <w:color w:val="auto"/>
          <w:sz w:val="28"/>
          <w:szCs w:val="28"/>
          <w:highlight w:val="none"/>
        </w:rPr>
      </w:pPr>
    </w:p>
    <w:tbl>
      <w:tblPr>
        <w:tblStyle w:val="66"/>
        <w:tblpPr w:leftFromText="180" w:rightFromText="180" w:vertAnchor="text" w:horzAnchor="page" w:tblpX="1639" w:tblpY="1241"/>
        <w:tblOverlap w:val="never"/>
        <w:tblW w:w="88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6"/>
        <w:gridCol w:w="1422"/>
        <w:gridCol w:w="1850"/>
        <w:gridCol w:w="709"/>
        <w:gridCol w:w="982"/>
        <w:gridCol w:w="3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886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eastAsia" w:ascii="方正小标宋简体" w:hAnsi="方正小标宋简体" w:eastAsia="方正小标宋简体" w:cs="方正小标宋简体"/>
                <w:b/>
                <w:bCs/>
                <w:i w:val="0"/>
                <w:iCs w:val="0"/>
                <w:color w:val="000000"/>
                <w:kern w:val="0"/>
                <w:sz w:val="32"/>
                <w:szCs w:val="32"/>
                <w:u w:val="none"/>
                <w:lang w:val="en-US" w:eastAsia="zh-CN" w:bidi="ar"/>
              </w:rPr>
              <w:t>上固服务区光伏车棚施工工程量清单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序号</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项目名称</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项目特征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单位</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工程量</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简体" w:hAnsi="方正仿宋简体" w:eastAsia="方正仿宋简体" w:cs="方正仿宋简体"/>
                <w:b/>
                <w:bCs/>
                <w:i w:val="0"/>
                <w:iCs w:val="0"/>
                <w:color w:val="000000"/>
                <w:kern w:val="0"/>
                <w:sz w:val="21"/>
                <w:szCs w:val="21"/>
                <w:u w:val="none"/>
                <w:lang w:val="en-US" w:eastAsia="zh-CN" w:bidi="ar"/>
              </w:rPr>
            </w:pPr>
            <w:r>
              <w:rPr>
                <w:rFonts w:hint="eastAsia" w:ascii="方正仿宋简体" w:hAnsi="方正仿宋简体" w:eastAsia="方正仿宋简体" w:cs="方正仿宋简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一</w:t>
            </w:r>
          </w:p>
        </w:tc>
        <w:tc>
          <w:tcPr>
            <w:tcW w:w="79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方正仿宋简体" w:cs="Times New Roman"/>
                <w:i w:val="0"/>
                <w:iCs w:val="0"/>
                <w:color w:val="000000"/>
                <w:sz w:val="21"/>
                <w:szCs w:val="21"/>
                <w:u w:val="none"/>
              </w:rPr>
            </w:pPr>
            <w:r>
              <w:rPr>
                <w:rStyle w:val="430"/>
                <w:rFonts w:hint="default" w:ascii="Times New Roman" w:hAnsi="Times New Roman" w:eastAsia="方正仿宋简体" w:cs="Times New Roman"/>
                <w:sz w:val="21"/>
                <w:szCs w:val="21"/>
                <w:lang w:val="en-US" w:eastAsia="zh-CN" w:bidi="ar"/>
              </w:rPr>
              <w:t>光伏发电</w:t>
            </w:r>
            <w:r>
              <w:rPr>
                <w:rStyle w:val="426"/>
                <w:rFonts w:hint="default" w:ascii="Times New Roman" w:hAnsi="Times New Roman" w:eastAsia="方正仿宋简体" w:cs="Times New Roman"/>
                <w:sz w:val="21"/>
                <w:szCs w:val="21"/>
                <w:lang w:val="en-US" w:eastAsia="zh-CN" w:bidi="ar"/>
              </w:rPr>
              <w:t>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6"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1.1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光伏车棚支架</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车棚支架、檩条、紧固件、压块等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瓦</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49920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Style w:val="431"/>
                <w:rFonts w:hint="default" w:ascii="Times New Roman" w:hAnsi="Times New Roman" w:eastAsia="方正仿宋简体" w:cs="Times New Roman"/>
                <w:sz w:val="21"/>
                <w:szCs w:val="21"/>
                <w:lang w:val="en-US" w:eastAsia="zh-CN" w:bidi="ar"/>
              </w:rPr>
              <w:t>包含檩条</w:t>
            </w:r>
            <w:r>
              <w:rPr>
                <w:rStyle w:val="429"/>
                <w:rFonts w:hint="default" w:ascii="Times New Roman" w:hAnsi="Times New Roman" w:eastAsia="方正仿宋简体" w:cs="Times New Roman"/>
                <w:sz w:val="21"/>
                <w:szCs w:val="21"/>
                <w:lang w:val="en-US" w:eastAsia="zh-CN" w:bidi="ar"/>
              </w:rPr>
              <w:t>41*52*2.0mm</w:t>
            </w:r>
            <w:r>
              <w:rPr>
                <w:rStyle w:val="431"/>
                <w:rFonts w:hint="default" w:ascii="Times New Roman" w:hAnsi="Times New Roman" w:eastAsia="方正仿宋简体" w:cs="Times New Roman"/>
                <w:sz w:val="21"/>
                <w:szCs w:val="21"/>
                <w:lang w:val="en-US" w:eastAsia="zh-CN" w:bidi="ar"/>
              </w:rPr>
              <w:t>，C型导水槽等热浸镀锌厚度不小于</w:t>
            </w:r>
            <w:r>
              <w:rPr>
                <w:rStyle w:val="429"/>
                <w:rFonts w:hint="default" w:ascii="Times New Roman" w:hAnsi="Times New Roman" w:eastAsia="方正仿宋简体" w:cs="Times New Roman"/>
                <w:sz w:val="21"/>
                <w:szCs w:val="21"/>
                <w:lang w:val="en-US" w:eastAsia="zh-CN" w:bidi="ar"/>
              </w:rPr>
              <w:t>65</w:t>
            </w:r>
            <w:r>
              <w:rPr>
                <w:rStyle w:val="431"/>
                <w:rFonts w:hint="default" w:ascii="Times New Roman" w:hAnsi="Times New Roman" w:eastAsia="方正仿宋简体" w:cs="Times New Roman"/>
                <w:sz w:val="21"/>
                <w:szCs w:val="21"/>
                <w:lang w:val="en-US" w:eastAsia="zh-CN" w:bidi="ar"/>
              </w:rPr>
              <w:t>μ</w:t>
            </w:r>
            <w:r>
              <w:rPr>
                <w:rStyle w:val="429"/>
                <w:rFonts w:hint="default" w:ascii="Times New Roman" w:hAnsi="Times New Roman" w:eastAsia="方正仿宋简体" w:cs="Times New Roman"/>
                <w:sz w:val="21"/>
                <w:szCs w:val="21"/>
                <w:lang w:val="en-US" w:eastAsia="zh-CN" w:bidi="ar"/>
              </w:rPr>
              <w:t>m</w:t>
            </w:r>
            <w:r>
              <w:rPr>
                <w:rStyle w:val="431"/>
                <w:rFonts w:hint="default" w:ascii="Times New Roman" w:hAnsi="Times New Roman" w:eastAsia="方正仿宋简体" w:cs="Times New Roman"/>
                <w:sz w:val="21"/>
                <w:szCs w:val="21"/>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6"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1.2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车棚支架转运及除锈、防腐</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车棚转运及除锈、防腐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10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kern w:val="0"/>
                <w:sz w:val="21"/>
                <w:szCs w:val="21"/>
                <w:u w:val="none"/>
                <w:lang w:val="en-US" w:eastAsia="zh-CN" w:bidi="ar"/>
              </w:rPr>
            </w:pPr>
            <w:r>
              <w:rPr>
                <w:rFonts w:hint="default" w:ascii="Times New Roman" w:hAnsi="Times New Roman" w:eastAsia="方正仿宋简体" w:cs="Times New Roman"/>
                <w:i w:val="0"/>
                <w:iCs w:val="0"/>
                <w:color w:val="000000"/>
                <w:kern w:val="0"/>
                <w:sz w:val="21"/>
                <w:szCs w:val="21"/>
                <w:u w:val="none"/>
                <w:lang w:val="en-US" w:eastAsia="zh-CN" w:bidi="ar"/>
              </w:rPr>
              <w:t>吊车转运，运距80公里；</w:t>
            </w:r>
          </w:p>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手工打磨，除锈后整体刷漆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二</w:t>
            </w:r>
          </w:p>
        </w:tc>
        <w:tc>
          <w:tcPr>
            <w:tcW w:w="79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b/>
                <w:bCs/>
                <w:i w:val="0"/>
                <w:iCs w:val="0"/>
                <w:color w:val="000000"/>
                <w:kern w:val="0"/>
                <w:sz w:val="21"/>
                <w:szCs w:val="21"/>
                <w:u w:val="none"/>
                <w:lang w:val="en-US" w:eastAsia="zh-CN" w:bidi="ar"/>
              </w:rPr>
              <w:t>电缆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6"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直流电缆</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Style w:val="431"/>
                <w:rFonts w:hint="default" w:ascii="Times New Roman" w:hAnsi="Times New Roman" w:eastAsia="方正仿宋简体" w:cs="Times New Roman"/>
                <w:sz w:val="21"/>
                <w:szCs w:val="21"/>
                <w:lang w:val="en-US" w:eastAsia="zh-CN" w:bidi="ar"/>
              </w:rPr>
              <w:t>直流电缆</w:t>
            </w:r>
            <w:r>
              <w:rPr>
                <w:rStyle w:val="429"/>
                <w:rFonts w:hint="default" w:ascii="Times New Roman" w:hAnsi="Times New Roman" w:eastAsia="方正仿宋简体" w:cs="Times New Roman"/>
                <w:sz w:val="21"/>
                <w:szCs w:val="21"/>
                <w:lang w:val="en-US" w:eastAsia="zh-CN" w:bidi="ar"/>
              </w:rPr>
              <w:t>PV-F 1x4mm</w:t>
            </w:r>
            <w:r>
              <w:rPr>
                <w:rStyle w:val="432"/>
                <w:rFonts w:hint="default" w:ascii="Times New Roman" w:hAnsi="Times New Roman" w:eastAsia="方正仿宋简体" w:cs="Times New Roman"/>
                <w:sz w:val="21"/>
                <w:szCs w:val="21"/>
                <w:lang w:val="en-US" w:eastAsia="zh-CN" w:bidi="ar"/>
              </w:rPr>
              <w:t>2</w:t>
            </w:r>
            <w:r>
              <w:rPr>
                <w:rStyle w:val="431"/>
                <w:rFonts w:hint="default" w:ascii="Times New Roman" w:hAnsi="Times New Roman" w:eastAsia="方正仿宋简体" w:cs="Times New Roman"/>
                <w:sz w:val="21"/>
                <w:szCs w:val="21"/>
                <w:lang w:val="en-US" w:eastAsia="zh-CN" w:bidi="ar"/>
              </w:rPr>
              <w:t>；套PVC槽盒；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米</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800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Style w:val="431"/>
                <w:rFonts w:hint="default" w:ascii="Times New Roman" w:hAnsi="Times New Roman" w:eastAsia="方正仿宋简体" w:cs="Times New Roman"/>
                <w:sz w:val="21"/>
                <w:szCs w:val="21"/>
                <w:lang w:val="en-US" w:eastAsia="zh-CN" w:bidi="ar"/>
              </w:rPr>
              <w:t>直流电缆起始端做永久标识牌，</w:t>
            </w:r>
            <w:r>
              <w:rPr>
                <w:rStyle w:val="429"/>
                <w:rFonts w:hint="default" w:ascii="Times New Roman" w:hAnsi="Times New Roman" w:eastAsia="方正仿宋简体" w:cs="Times New Roman"/>
                <w:sz w:val="21"/>
                <w:szCs w:val="21"/>
                <w:lang w:val="en-US" w:eastAsia="zh-CN" w:bidi="ar"/>
              </w:rPr>
              <w:t>MC4</w:t>
            </w:r>
            <w:r>
              <w:rPr>
                <w:rStyle w:val="431"/>
                <w:rFonts w:hint="default" w:ascii="Times New Roman" w:hAnsi="Times New Roman" w:eastAsia="方正仿宋简体" w:cs="Times New Roman"/>
                <w:sz w:val="21"/>
                <w:szCs w:val="21"/>
                <w:lang w:val="en-US" w:eastAsia="zh-CN" w:bidi="ar"/>
              </w:rPr>
              <w:t>头制做；直流电缆穿PVC槽盒隐蔽。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交流电缆</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ZR-YJV22-3*16+1*10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米</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eastAsia" w:ascii="Times New Roman" w:hAnsi="Times New Roman" w:eastAsia="方正仿宋简体" w:cs="Times New Roman"/>
                <w:i w:val="0"/>
                <w:iCs w:val="0"/>
                <w:color w:val="000000"/>
                <w:kern w:val="0"/>
                <w:sz w:val="21"/>
                <w:szCs w:val="21"/>
                <w:u w:val="none"/>
                <w:lang w:val="en-US" w:eastAsia="zh-CN" w:bidi="ar"/>
              </w:rPr>
              <w:t>45</w:t>
            </w:r>
            <w:r>
              <w:rPr>
                <w:rFonts w:hint="default" w:ascii="Times New Roman" w:hAnsi="Times New Roman" w:eastAsia="方正仿宋简体" w:cs="Times New Roman"/>
                <w:i w:val="0"/>
                <w:iCs w:val="0"/>
                <w:color w:val="000000"/>
                <w:kern w:val="0"/>
                <w:sz w:val="21"/>
                <w:szCs w:val="21"/>
                <w:u w:val="none"/>
                <w:lang w:val="en-US" w:eastAsia="zh-CN" w:bidi="ar"/>
              </w:rPr>
              <w:t>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kern w:val="0"/>
                <w:sz w:val="21"/>
                <w:szCs w:val="21"/>
                <w:u w:val="none"/>
                <w:lang w:val="en-US" w:eastAsia="zh-CN" w:bidi="ar"/>
              </w:rPr>
            </w:pPr>
            <w:r>
              <w:rPr>
                <w:rFonts w:hint="default" w:ascii="Times New Roman" w:hAnsi="Times New Roman" w:eastAsia="方正仿宋简体" w:cs="Times New Roman"/>
                <w:i w:val="0"/>
                <w:iCs w:val="0"/>
                <w:color w:val="000000"/>
                <w:kern w:val="0"/>
                <w:sz w:val="21"/>
                <w:szCs w:val="21"/>
                <w:u w:val="none"/>
                <w:lang w:val="en-US" w:eastAsia="zh-CN" w:bidi="ar"/>
              </w:rPr>
              <w:t>含电缆沟开挖及电缆敷设</w:t>
            </w:r>
          </w:p>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电缆沟深度60cm；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1"/>
                <w:szCs w:val="21"/>
                <w:u w:val="none"/>
              </w:rPr>
            </w:pPr>
            <w:r>
              <w:rPr>
                <w:rFonts w:hint="default" w:ascii="Times New Roman" w:hAnsi="Times New Roman" w:eastAsia="方正仿宋简体" w:cs="Times New Roman"/>
                <w:b/>
                <w:bCs/>
                <w:i w:val="0"/>
                <w:iCs w:val="0"/>
                <w:color w:val="000000"/>
                <w:kern w:val="0"/>
                <w:sz w:val="21"/>
                <w:szCs w:val="21"/>
                <w:u w:val="none"/>
                <w:lang w:val="en-US" w:eastAsia="zh-CN" w:bidi="ar"/>
              </w:rPr>
              <w:t>三</w:t>
            </w:r>
          </w:p>
        </w:tc>
        <w:tc>
          <w:tcPr>
            <w:tcW w:w="79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b/>
                <w:bCs/>
                <w:i w:val="0"/>
                <w:iCs w:val="0"/>
                <w:color w:val="000000"/>
                <w:kern w:val="0"/>
                <w:sz w:val="21"/>
                <w:szCs w:val="21"/>
                <w:u w:val="none"/>
                <w:lang w:val="en-US" w:eastAsia="zh-CN" w:bidi="ar"/>
              </w:rPr>
              <w:t>光伏系统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3.1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通信设备</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木联能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方正仿宋简体" w:cs="Times New Roman"/>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3.2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防雷接地</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项</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接地电阻小于6欧姆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8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四</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1"/>
                <w:szCs w:val="21"/>
                <w:u w:val="none"/>
              </w:rPr>
            </w:pPr>
            <w:r>
              <w:rPr>
                <w:rFonts w:hint="default" w:ascii="Times New Roman" w:hAnsi="Times New Roman" w:eastAsia="方正仿宋简体" w:cs="Times New Roman"/>
                <w:b/>
                <w:bCs/>
                <w:i w:val="0"/>
                <w:iCs w:val="0"/>
                <w:color w:val="000000"/>
                <w:kern w:val="0"/>
                <w:sz w:val="21"/>
                <w:szCs w:val="21"/>
                <w:u w:val="none"/>
                <w:lang w:val="en-US" w:eastAsia="zh-CN" w:bidi="ar"/>
              </w:rPr>
              <w:t>施工费</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车棚土建基础开挖及浇筑工程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Style w:val="431"/>
                <w:rFonts w:hint="default" w:ascii="Times New Roman" w:hAnsi="Times New Roman" w:eastAsia="方正仿宋简体" w:cs="Times New Roman"/>
                <w:sz w:val="21"/>
                <w:szCs w:val="21"/>
                <w:lang w:val="en-US" w:eastAsia="zh-CN" w:bidi="ar"/>
              </w:rPr>
              <w:t>m</w:t>
            </w:r>
            <w:r>
              <w:rPr>
                <w:rStyle w:val="433"/>
                <w:rFonts w:hint="default" w:ascii="Times New Roman" w:hAnsi="Times New Roman" w:eastAsia="方正仿宋简体" w:cs="Times New Roman"/>
                <w:sz w:val="21"/>
                <w:szCs w:val="21"/>
                <w:lang w:val="en-US" w:eastAsia="zh-CN" w:bidi="ar"/>
              </w:rPr>
              <w:t>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基础混泥土C30，停车车位线等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方正仿宋简体" w:cs="Times New Roman"/>
                <w:i w:val="0"/>
                <w:iCs w:val="0"/>
                <w:color w:val="000000"/>
                <w:sz w:val="21"/>
                <w:szCs w:val="21"/>
                <w:u w:val="none"/>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方正仿宋简体" w:cs="Times New Roman"/>
                <w:b/>
                <w:bCs/>
                <w:i w:val="0"/>
                <w:iCs w:val="0"/>
                <w:color w:val="000000"/>
                <w:sz w:val="21"/>
                <w:szCs w:val="21"/>
                <w:u w:val="none"/>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基础预埋件、基础箍筋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20</w:t>
            </w:r>
          </w:p>
        </w:tc>
        <w:tc>
          <w:tcPr>
            <w:tcW w:w="30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方正仿宋简体" w:cs="Times New Roman"/>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7" w:hRule="atLeast"/>
        </w:trPr>
        <w:tc>
          <w:tcPr>
            <w:tcW w:w="866"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142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default" w:ascii="Times New Roman" w:hAnsi="Times New Roman" w:eastAsia="宋体" w:cs="Times New Roman"/>
                <w:b/>
                <w:bCs/>
                <w:i w:val="0"/>
                <w:iCs w:val="0"/>
                <w:color w:val="000000"/>
                <w:sz w:val="21"/>
                <w:szCs w:val="21"/>
                <w:u w:val="none"/>
              </w:rPr>
            </w:pPr>
          </w:p>
        </w:tc>
        <w:tc>
          <w:tcPr>
            <w:tcW w:w="185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光伏车棚安装</w:t>
            </w:r>
          </w:p>
        </w:tc>
        <w:tc>
          <w:tcPr>
            <w:tcW w:w="70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瓦</w:t>
            </w:r>
          </w:p>
        </w:tc>
        <w:tc>
          <w:tcPr>
            <w:tcW w:w="98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Fonts w:hint="default" w:ascii="Times New Roman" w:hAnsi="Times New Roman" w:eastAsia="方正仿宋简体" w:cs="Times New Roman"/>
                <w:i w:val="0"/>
                <w:iCs w:val="0"/>
                <w:color w:val="000000"/>
                <w:kern w:val="0"/>
                <w:sz w:val="21"/>
                <w:szCs w:val="21"/>
                <w:u w:val="none"/>
                <w:lang w:val="en-US" w:eastAsia="zh-CN" w:bidi="ar"/>
              </w:rPr>
              <w:t>49920</w:t>
            </w:r>
          </w:p>
        </w:tc>
        <w:tc>
          <w:tcPr>
            <w:tcW w:w="3031"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方正仿宋简体" w:cs="Times New Roman"/>
                <w:i w:val="0"/>
                <w:iCs w:val="0"/>
                <w:color w:val="000000"/>
                <w:sz w:val="21"/>
                <w:szCs w:val="21"/>
                <w:u w:val="none"/>
              </w:rPr>
            </w:pPr>
            <w:r>
              <w:rPr>
                <w:rStyle w:val="431"/>
                <w:rFonts w:hint="default" w:ascii="Times New Roman" w:hAnsi="Times New Roman" w:eastAsia="方正仿宋简体" w:cs="Times New Roman"/>
                <w:sz w:val="21"/>
                <w:szCs w:val="21"/>
                <w:lang w:val="en-US" w:eastAsia="zh-CN" w:bidi="ar"/>
              </w:rPr>
              <w:t>含所有孔进行封堵；防撞警示牌、限高警示牌、灭火器箱（含</w:t>
            </w:r>
            <w:r>
              <w:rPr>
                <w:rStyle w:val="429"/>
                <w:rFonts w:hint="default" w:ascii="Times New Roman" w:hAnsi="Times New Roman" w:eastAsia="方正仿宋简体" w:cs="Times New Roman"/>
                <w:sz w:val="21"/>
                <w:szCs w:val="21"/>
                <w:lang w:val="en-US" w:eastAsia="zh-CN" w:bidi="ar"/>
              </w:rPr>
              <w:t>5kg</w:t>
            </w:r>
            <w:r>
              <w:rPr>
                <w:rStyle w:val="431"/>
                <w:rFonts w:hint="default" w:ascii="Times New Roman" w:hAnsi="Times New Roman" w:eastAsia="方正仿宋简体" w:cs="Times New Roman"/>
                <w:sz w:val="21"/>
                <w:szCs w:val="21"/>
                <w:lang w:val="en-US" w:eastAsia="zh-CN" w:bidi="ar"/>
              </w:rPr>
              <w:t>干粉灭火器）、电缆警示桩、平整场地费、清场费、图纸等</w:t>
            </w:r>
          </w:p>
        </w:tc>
      </w:tr>
    </w:tbl>
    <w:p>
      <w:pPr>
        <w:jc w:val="both"/>
        <w:rPr>
          <w:rFonts w:hint="eastAsia"/>
          <w:b/>
          <w:bCs/>
          <w:color w:val="auto"/>
          <w:sz w:val="28"/>
          <w:szCs w:val="28"/>
          <w:highlight w:val="none"/>
          <w:lang w:eastAsia="zh-CN"/>
        </w:rPr>
      </w:pPr>
    </w:p>
    <w:p>
      <w:pPr>
        <w:jc w:val="center"/>
        <w:rPr>
          <w:rFonts w:hint="eastAsia"/>
          <w:b/>
          <w:bCs/>
          <w:color w:val="auto"/>
          <w:sz w:val="28"/>
          <w:szCs w:val="28"/>
          <w:highlight w:val="none"/>
          <w:lang w:eastAsia="zh-CN"/>
        </w:rPr>
      </w:pPr>
    </w:p>
    <w:p>
      <w:pPr>
        <w:spacing w:line="360" w:lineRule="auto"/>
        <w:ind w:firstLine="2880" w:firstLineChars="1200"/>
        <w:rPr>
          <w:color w:val="auto"/>
          <w:highlight w:val="none"/>
        </w:rPr>
      </w:pPr>
      <w:r>
        <w:rPr>
          <w:rFonts w:hint="eastAsia"/>
          <w:color w:val="auto"/>
          <w:highlight w:val="none"/>
        </w:rPr>
        <w:t>响应人</w:t>
      </w:r>
      <w:r>
        <w:rPr>
          <w:color w:val="auto"/>
          <w:highlight w:val="none"/>
        </w:rPr>
        <w:t>：</w:t>
      </w:r>
      <w:r>
        <w:rPr>
          <w:color w:val="auto"/>
          <w:highlight w:val="none"/>
          <w:u w:val="single"/>
        </w:rPr>
        <w:t xml:space="preserve">                      </w:t>
      </w:r>
      <w:r>
        <w:rPr>
          <w:color w:val="auto"/>
          <w:highlight w:val="none"/>
        </w:rPr>
        <w:t>（盖单位章）</w:t>
      </w:r>
    </w:p>
    <w:p>
      <w:pPr>
        <w:topLinePunct/>
        <w:spacing w:line="440" w:lineRule="exact"/>
        <w:ind w:firstLine="2940" w:firstLineChars="1225"/>
        <w:rPr>
          <w:color w:val="auto"/>
          <w:highlight w:val="none"/>
        </w:rPr>
      </w:pPr>
      <w:r>
        <w:rPr>
          <w:color w:val="auto"/>
          <w:highlight w:val="none"/>
        </w:rPr>
        <w:t>法定代表人或其委托代理人：</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p>
    <w:p>
      <w:pPr>
        <w:jc w:val="both"/>
        <w:rPr>
          <w:rFonts w:hint="eastAsia"/>
          <w:color w:val="auto"/>
          <w:highlight w:val="none"/>
          <w:u w:val="single"/>
          <w:lang w:val="en-US" w:eastAsia="zh-CN"/>
        </w:rPr>
      </w:pPr>
    </w:p>
    <w:p>
      <w:pPr>
        <w:topLinePunct/>
        <w:spacing w:line="440" w:lineRule="exact"/>
        <w:ind w:firstLine="3600" w:firstLineChars="1500"/>
        <w:rPr>
          <w:rFonts w:ascii="仿宋" w:hAnsi="仿宋" w:eastAsia="仿宋" w:cs="仿宋"/>
          <w:color w:val="auto"/>
          <w:sz w:val="22"/>
          <w:szCs w:val="21"/>
          <w:highlight w:val="none"/>
        </w:rPr>
      </w:pP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sectPr>
      <w:pgSz w:w="11907" w:h="16840"/>
      <w:pgMar w:top="1418" w:right="1418" w:bottom="1418" w:left="1418" w:header="720" w:footer="720" w:gutter="284"/>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宋体">
    <w:panose1 w:val="02010600030101010101"/>
    <w:charset w:val="86"/>
    <w:family w:val="auto"/>
    <w:pitch w:val="default"/>
    <w:sig w:usb0="00000003" w:usb1="288F0000" w:usb2="00000006" w:usb3="00000000" w:csb0="00040001" w:csb1="00000000"/>
  </w:font>
  <w:font w:name="文鼎大标宋简">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文鼎CS书宋二">
    <w:altName w:val="宋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Garamond">
    <w:altName w:val="RomanS"/>
    <w:panose1 w:val="02020404030301010803"/>
    <w:charset w:val="00"/>
    <w:family w:val="roman"/>
    <w:pitch w:val="default"/>
    <w:sig w:usb0="00000000" w:usb1="00000000" w:usb2="00000000" w:usb3="00000000" w:csb0="0000009F" w:csb1="DFD70000"/>
  </w:font>
  <w:font w:name="RomanS">
    <w:panose1 w:val="02000400000000000000"/>
    <w:charset w:val="00"/>
    <w:family w:val="auto"/>
    <w:pitch w:val="default"/>
    <w:sig w:usb0="00000207" w:usb1="00000000" w:usb2="00000000" w:usb3="00000000" w:csb0="000001FF" w:csb1="00000000"/>
  </w:font>
  <w:font w:name="宋体-18030">
    <w:altName w:val="宋体"/>
    <w:panose1 w:val="00000000000000000000"/>
    <w:charset w:val="86"/>
    <w:family w:val="auto"/>
    <w:pitch w:val="default"/>
    <w:sig w:usb0="00000000" w:usb1="00000000" w:usb2="000A005E" w:usb3="00000000" w:csb0="00040001" w:csb1="00000000"/>
  </w:font>
  <w:font w:name="方正美黑简体">
    <w:altName w:val="黑体"/>
    <w:panose1 w:val="00000000000000000000"/>
    <w:charset w:val="86"/>
    <w:family w:val="auto"/>
    <w:pitch w:val="default"/>
    <w:sig w:usb0="00000000" w:usb1="00000000" w:usb2="0000001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spacing w:after="1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spacing w:after="120"/>
      <w:jc w:val="center"/>
    </w:pPr>
    <w:r>
      <w:fldChar w:fldCharType="begin"/>
    </w:r>
    <w:r>
      <w:rPr>
        <w:rStyle w:val="71"/>
      </w:rPr>
      <w:instrText xml:space="preserve"> PAGE </w:instrText>
    </w:r>
    <w:r>
      <w:fldChar w:fldCharType="separate"/>
    </w:r>
    <w:r>
      <w:rPr>
        <w:rStyle w:val="71"/>
      </w:rPr>
      <w:t>23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8DA80E"/>
    <w:multiLevelType w:val="singleLevel"/>
    <w:tmpl w:val="AC8DA80E"/>
    <w:lvl w:ilvl="0" w:tentative="0">
      <w:start w:val="1"/>
      <w:numFmt w:val="decimalEnclosedCircleChinese"/>
      <w:suff w:val="nothing"/>
      <w:lvlText w:val="%1　"/>
      <w:lvlJc w:val="left"/>
      <w:pPr>
        <w:ind w:left="0" w:firstLine="400"/>
      </w:pPr>
      <w:rPr>
        <w:rFonts w:hint="eastAsia"/>
      </w:rPr>
    </w:lvl>
  </w:abstractNum>
  <w:abstractNum w:abstractNumId="1">
    <w:nsid w:val="CE368C9B"/>
    <w:multiLevelType w:val="singleLevel"/>
    <w:tmpl w:val="CE368C9B"/>
    <w:lvl w:ilvl="0" w:tentative="0">
      <w:start w:val="1"/>
      <w:numFmt w:val="decimal"/>
      <w:lvlText w:val="(%1)"/>
      <w:lvlJc w:val="left"/>
      <w:pPr>
        <w:ind w:left="425" w:hanging="425"/>
      </w:pPr>
      <w:rPr>
        <w:rFonts w:hint="default"/>
      </w:rPr>
    </w:lvl>
  </w:abstractNum>
  <w:abstractNum w:abstractNumId="2">
    <w:nsid w:val="00000002"/>
    <w:multiLevelType w:val="multilevel"/>
    <w:tmpl w:val="00000002"/>
    <w:lvl w:ilvl="0" w:tentative="0">
      <w:start w:val="1"/>
      <w:numFmt w:val="decimal"/>
      <w:lvlText w:val="(%1)"/>
      <w:lvlJc w:val="left"/>
      <w:pPr>
        <w:tabs>
          <w:tab w:val="left" w:pos="360"/>
        </w:tabs>
        <w:ind w:left="1260" w:hanging="420"/>
      </w:pPr>
      <w:rPr>
        <w:rFonts w:hint="eastAsia" w:ascii="宋体" w:hAnsi="Courier New" w:eastAsia="宋体" w:cs="Times New Roman"/>
      </w:rPr>
    </w:lvl>
    <w:lvl w:ilvl="1" w:tentative="0">
      <w:start w:val="1"/>
      <w:numFmt w:val="decimal"/>
      <w:lvlText w:val="(%2)"/>
      <w:lvlJc w:val="left"/>
      <w:pPr>
        <w:tabs>
          <w:tab w:val="left" w:pos="780"/>
        </w:tabs>
        <w:ind w:left="1680" w:hanging="420"/>
      </w:pPr>
      <w:rPr>
        <w:rFonts w:hint="eastAsia" w:ascii="宋体" w:hAnsi="Courier New" w:eastAsia="宋体" w:cs="Times New Roman"/>
      </w:rPr>
    </w:lvl>
    <w:lvl w:ilvl="2" w:tentative="0">
      <w:start w:val="1"/>
      <w:numFmt w:val="decimal"/>
      <w:lvlText w:val="（%3）"/>
      <w:lvlJc w:val="left"/>
      <w:pPr>
        <w:tabs>
          <w:tab w:val="left" w:pos="2400"/>
        </w:tabs>
        <w:ind w:left="2400" w:hanging="720"/>
      </w:pPr>
      <w:rPr>
        <w:rFonts w:hint="default"/>
      </w:r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3">
    <w:nsid w:val="4A0E1B8E"/>
    <w:multiLevelType w:val="singleLevel"/>
    <w:tmpl w:val="4A0E1B8E"/>
    <w:lvl w:ilvl="0" w:tentative="0">
      <w:start w:val="1"/>
      <w:numFmt w:val="decimalEnclosedCircleChinese"/>
      <w:suff w:val="nothing"/>
      <w:lvlText w:val="%1　"/>
      <w:lvlJc w:val="left"/>
      <w:pPr>
        <w:ind w:left="0" w:firstLine="400"/>
      </w:pPr>
      <w:rPr>
        <w:rFonts w:hint="eastAsia"/>
      </w:rPr>
    </w:lvl>
  </w:abstractNum>
  <w:abstractNum w:abstractNumId="4">
    <w:nsid w:val="58249979"/>
    <w:multiLevelType w:val="singleLevel"/>
    <w:tmpl w:val="58249979"/>
    <w:lvl w:ilvl="0" w:tentative="0">
      <w:start w:val="2"/>
      <w:numFmt w:val="chineseCounting"/>
      <w:suff w:val="space"/>
      <w:lvlText w:val="（%1）"/>
      <w:lvlJc w:val="left"/>
      <w:rPr>
        <w:rFonts w:hint="eastAsia"/>
      </w:rPr>
    </w:lvl>
  </w:abstractNum>
  <w:abstractNum w:abstractNumId="5">
    <w:nsid w:val="63C2FA2A"/>
    <w:multiLevelType w:val="singleLevel"/>
    <w:tmpl w:val="63C2FA2A"/>
    <w:lvl w:ilvl="0" w:tentative="0">
      <w:start w:val="3"/>
      <w:numFmt w:val="decimal"/>
      <w:suff w:val="nothing"/>
      <w:lvlText w:val="（%1）"/>
      <w:lvlJc w:val="left"/>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222"/>
    <w:rsid w:val="00001BA1"/>
    <w:rsid w:val="00001C5E"/>
    <w:rsid w:val="00004B65"/>
    <w:rsid w:val="00004DD5"/>
    <w:rsid w:val="000059C6"/>
    <w:rsid w:val="00005C18"/>
    <w:rsid w:val="00010731"/>
    <w:rsid w:val="00010C90"/>
    <w:rsid w:val="00011177"/>
    <w:rsid w:val="000111FD"/>
    <w:rsid w:val="00012EEB"/>
    <w:rsid w:val="00012F9D"/>
    <w:rsid w:val="00016968"/>
    <w:rsid w:val="00017557"/>
    <w:rsid w:val="00020155"/>
    <w:rsid w:val="0002037E"/>
    <w:rsid w:val="00020F9B"/>
    <w:rsid w:val="0002138B"/>
    <w:rsid w:val="000217C3"/>
    <w:rsid w:val="00026334"/>
    <w:rsid w:val="00026EBC"/>
    <w:rsid w:val="00027619"/>
    <w:rsid w:val="00027F9F"/>
    <w:rsid w:val="0003012E"/>
    <w:rsid w:val="00031258"/>
    <w:rsid w:val="0003193E"/>
    <w:rsid w:val="00033F5F"/>
    <w:rsid w:val="000340B7"/>
    <w:rsid w:val="0003488D"/>
    <w:rsid w:val="00034D06"/>
    <w:rsid w:val="000350DD"/>
    <w:rsid w:val="00035B71"/>
    <w:rsid w:val="00035CD9"/>
    <w:rsid w:val="00037248"/>
    <w:rsid w:val="00042209"/>
    <w:rsid w:val="0004311B"/>
    <w:rsid w:val="00043B96"/>
    <w:rsid w:val="0004411B"/>
    <w:rsid w:val="00045E41"/>
    <w:rsid w:val="00046C44"/>
    <w:rsid w:val="00047336"/>
    <w:rsid w:val="000506D5"/>
    <w:rsid w:val="000512B9"/>
    <w:rsid w:val="00051659"/>
    <w:rsid w:val="0005247D"/>
    <w:rsid w:val="00055378"/>
    <w:rsid w:val="00057219"/>
    <w:rsid w:val="00057614"/>
    <w:rsid w:val="00060764"/>
    <w:rsid w:val="00060F14"/>
    <w:rsid w:val="00062041"/>
    <w:rsid w:val="0006368E"/>
    <w:rsid w:val="00064D9D"/>
    <w:rsid w:val="0006546A"/>
    <w:rsid w:val="00065D40"/>
    <w:rsid w:val="00065DCE"/>
    <w:rsid w:val="000672EC"/>
    <w:rsid w:val="000674DE"/>
    <w:rsid w:val="00070340"/>
    <w:rsid w:val="00071041"/>
    <w:rsid w:val="000714CA"/>
    <w:rsid w:val="00072719"/>
    <w:rsid w:val="00072B3A"/>
    <w:rsid w:val="00073AB9"/>
    <w:rsid w:val="00073E32"/>
    <w:rsid w:val="00074548"/>
    <w:rsid w:val="00074C52"/>
    <w:rsid w:val="000754E5"/>
    <w:rsid w:val="00075B9E"/>
    <w:rsid w:val="00075DF9"/>
    <w:rsid w:val="000764A2"/>
    <w:rsid w:val="00076AA0"/>
    <w:rsid w:val="000774DB"/>
    <w:rsid w:val="0008045C"/>
    <w:rsid w:val="00080DFC"/>
    <w:rsid w:val="000817A2"/>
    <w:rsid w:val="00081A8A"/>
    <w:rsid w:val="00081E18"/>
    <w:rsid w:val="00082C4F"/>
    <w:rsid w:val="00082C8B"/>
    <w:rsid w:val="00083548"/>
    <w:rsid w:val="00083DF0"/>
    <w:rsid w:val="000849B2"/>
    <w:rsid w:val="00084EAC"/>
    <w:rsid w:val="0008508A"/>
    <w:rsid w:val="00086904"/>
    <w:rsid w:val="00087694"/>
    <w:rsid w:val="00090213"/>
    <w:rsid w:val="00090267"/>
    <w:rsid w:val="00092DC0"/>
    <w:rsid w:val="00093CF0"/>
    <w:rsid w:val="000943D3"/>
    <w:rsid w:val="0009553B"/>
    <w:rsid w:val="0009650E"/>
    <w:rsid w:val="00097C55"/>
    <w:rsid w:val="00097FFE"/>
    <w:rsid w:val="000A0974"/>
    <w:rsid w:val="000A3944"/>
    <w:rsid w:val="000A3AE2"/>
    <w:rsid w:val="000A6D49"/>
    <w:rsid w:val="000A7FBF"/>
    <w:rsid w:val="000B0047"/>
    <w:rsid w:val="000B09B0"/>
    <w:rsid w:val="000B0A68"/>
    <w:rsid w:val="000B1AB6"/>
    <w:rsid w:val="000B38C3"/>
    <w:rsid w:val="000B44E1"/>
    <w:rsid w:val="000B661F"/>
    <w:rsid w:val="000B7C12"/>
    <w:rsid w:val="000B7D0B"/>
    <w:rsid w:val="000C037D"/>
    <w:rsid w:val="000C1C9C"/>
    <w:rsid w:val="000C21D5"/>
    <w:rsid w:val="000C2818"/>
    <w:rsid w:val="000C2953"/>
    <w:rsid w:val="000C2D34"/>
    <w:rsid w:val="000C3050"/>
    <w:rsid w:val="000C3946"/>
    <w:rsid w:val="000C43B1"/>
    <w:rsid w:val="000C5949"/>
    <w:rsid w:val="000C7553"/>
    <w:rsid w:val="000D00CF"/>
    <w:rsid w:val="000D044E"/>
    <w:rsid w:val="000D2D8B"/>
    <w:rsid w:val="000D2D8D"/>
    <w:rsid w:val="000D3B1B"/>
    <w:rsid w:val="000D4B11"/>
    <w:rsid w:val="000D4D85"/>
    <w:rsid w:val="000D5198"/>
    <w:rsid w:val="000D5214"/>
    <w:rsid w:val="000D55F3"/>
    <w:rsid w:val="000D6553"/>
    <w:rsid w:val="000D6682"/>
    <w:rsid w:val="000D6A20"/>
    <w:rsid w:val="000D710A"/>
    <w:rsid w:val="000D753E"/>
    <w:rsid w:val="000D7A0D"/>
    <w:rsid w:val="000E0D5F"/>
    <w:rsid w:val="000E1A4F"/>
    <w:rsid w:val="000E1C2F"/>
    <w:rsid w:val="000E1D86"/>
    <w:rsid w:val="000E293A"/>
    <w:rsid w:val="000E703D"/>
    <w:rsid w:val="000F04C1"/>
    <w:rsid w:val="000F1038"/>
    <w:rsid w:val="000F1BBD"/>
    <w:rsid w:val="000F2DE4"/>
    <w:rsid w:val="000F3BBA"/>
    <w:rsid w:val="000F6FA4"/>
    <w:rsid w:val="001005E1"/>
    <w:rsid w:val="00100C25"/>
    <w:rsid w:val="00102383"/>
    <w:rsid w:val="001023FA"/>
    <w:rsid w:val="00102869"/>
    <w:rsid w:val="00102DD2"/>
    <w:rsid w:val="001037FA"/>
    <w:rsid w:val="00103B99"/>
    <w:rsid w:val="00103DF0"/>
    <w:rsid w:val="00106366"/>
    <w:rsid w:val="001066F9"/>
    <w:rsid w:val="001069A6"/>
    <w:rsid w:val="00111B80"/>
    <w:rsid w:val="0011273F"/>
    <w:rsid w:val="001129C4"/>
    <w:rsid w:val="0011582F"/>
    <w:rsid w:val="0011595B"/>
    <w:rsid w:val="00116FA2"/>
    <w:rsid w:val="001173A2"/>
    <w:rsid w:val="0012118E"/>
    <w:rsid w:val="001213B8"/>
    <w:rsid w:val="00121A6B"/>
    <w:rsid w:val="00122AFC"/>
    <w:rsid w:val="00122F5A"/>
    <w:rsid w:val="00123257"/>
    <w:rsid w:val="00124042"/>
    <w:rsid w:val="00125137"/>
    <w:rsid w:val="00127B6E"/>
    <w:rsid w:val="0013157A"/>
    <w:rsid w:val="00132192"/>
    <w:rsid w:val="00132872"/>
    <w:rsid w:val="0013320D"/>
    <w:rsid w:val="00133368"/>
    <w:rsid w:val="00135163"/>
    <w:rsid w:val="00135D7C"/>
    <w:rsid w:val="00136039"/>
    <w:rsid w:val="0013676C"/>
    <w:rsid w:val="00137B90"/>
    <w:rsid w:val="00140443"/>
    <w:rsid w:val="001410DD"/>
    <w:rsid w:val="00141D1E"/>
    <w:rsid w:val="00143A1A"/>
    <w:rsid w:val="00143B10"/>
    <w:rsid w:val="00144321"/>
    <w:rsid w:val="00144B26"/>
    <w:rsid w:val="001466EE"/>
    <w:rsid w:val="00147125"/>
    <w:rsid w:val="0014752D"/>
    <w:rsid w:val="0015228D"/>
    <w:rsid w:val="001537E5"/>
    <w:rsid w:val="00153C54"/>
    <w:rsid w:val="001540E2"/>
    <w:rsid w:val="0015575F"/>
    <w:rsid w:val="00155D38"/>
    <w:rsid w:val="00156E19"/>
    <w:rsid w:val="001575F8"/>
    <w:rsid w:val="00160D83"/>
    <w:rsid w:val="001612AB"/>
    <w:rsid w:val="001612E2"/>
    <w:rsid w:val="00161B72"/>
    <w:rsid w:val="00162D34"/>
    <w:rsid w:val="001630E2"/>
    <w:rsid w:val="00163821"/>
    <w:rsid w:val="00163EFF"/>
    <w:rsid w:val="001648BE"/>
    <w:rsid w:val="00164CA6"/>
    <w:rsid w:val="00170A15"/>
    <w:rsid w:val="00170EF6"/>
    <w:rsid w:val="00171473"/>
    <w:rsid w:val="00171BD6"/>
    <w:rsid w:val="00172A27"/>
    <w:rsid w:val="0017331E"/>
    <w:rsid w:val="00175A6F"/>
    <w:rsid w:val="00176238"/>
    <w:rsid w:val="001772F0"/>
    <w:rsid w:val="001776C5"/>
    <w:rsid w:val="00177729"/>
    <w:rsid w:val="00177763"/>
    <w:rsid w:val="0018020F"/>
    <w:rsid w:val="00180530"/>
    <w:rsid w:val="00180C98"/>
    <w:rsid w:val="001820E6"/>
    <w:rsid w:val="00183699"/>
    <w:rsid w:val="00185A93"/>
    <w:rsid w:val="001863CB"/>
    <w:rsid w:val="00186985"/>
    <w:rsid w:val="00187866"/>
    <w:rsid w:val="00190F51"/>
    <w:rsid w:val="00191927"/>
    <w:rsid w:val="00191ED3"/>
    <w:rsid w:val="001946CF"/>
    <w:rsid w:val="001950E0"/>
    <w:rsid w:val="00197A98"/>
    <w:rsid w:val="001A1160"/>
    <w:rsid w:val="001A169C"/>
    <w:rsid w:val="001A22FD"/>
    <w:rsid w:val="001A3276"/>
    <w:rsid w:val="001A3E4B"/>
    <w:rsid w:val="001A5356"/>
    <w:rsid w:val="001A6617"/>
    <w:rsid w:val="001A6FC2"/>
    <w:rsid w:val="001B029D"/>
    <w:rsid w:val="001B37A7"/>
    <w:rsid w:val="001B4DDE"/>
    <w:rsid w:val="001B4E4C"/>
    <w:rsid w:val="001B6455"/>
    <w:rsid w:val="001B6489"/>
    <w:rsid w:val="001B6F4A"/>
    <w:rsid w:val="001C1128"/>
    <w:rsid w:val="001C1CDC"/>
    <w:rsid w:val="001C24C2"/>
    <w:rsid w:val="001C4EFB"/>
    <w:rsid w:val="001C5C3C"/>
    <w:rsid w:val="001C6A40"/>
    <w:rsid w:val="001C7CE2"/>
    <w:rsid w:val="001D1A37"/>
    <w:rsid w:val="001D20B3"/>
    <w:rsid w:val="001D2566"/>
    <w:rsid w:val="001D2673"/>
    <w:rsid w:val="001D4616"/>
    <w:rsid w:val="001D6FE7"/>
    <w:rsid w:val="001E1595"/>
    <w:rsid w:val="001E1A0D"/>
    <w:rsid w:val="001E2844"/>
    <w:rsid w:val="001E3247"/>
    <w:rsid w:val="001E341F"/>
    <w:rsid w:val="001E5DC8"/>
    <w:rsid w:val="001E63C8"/>
    <w:rsid w:val="001E69E0"/>
    <w:rsid w:val="001E70C0"/>
    <w:rsid w:val="001F33FF"/>
    <w:rsid w:val="001F3DC4"/>
    <w:rsid w:val="001F4078"/>
    <w:rsid w:val="001F59C3"/>
    <w:rsid w:val="001F6990"/>
    <w:rsid w:val="001F70A1"/>
    <w:rsid w:val="001F7420"/>
    <w:rsid w:val="001F76BC"/>
    <w:rsid w:val="001F77F6"/>
    <w:rsid w:val="00201098"/>
    <w:rsid w:val="002012E2"/>
    <w:rsid w:val="00202267"/>
    <w:rsid w:val="00202313"/>
    <w:rsid w:val="0020270E"/>
    <w:rsid w:val="00202979"/>
    <w:rsid w:val="002048EA"/>
    <w:rsid w:val="00204E34"/>
    <w:rsid w:val="00205F24"/>
    <w:rsid w:val="002067D2"/>
    <w:rsid w:val="002074A9"/>
    <w:rsid w:val="0020758B"/>
    <w:rsid w:val="002111BF"/>
    <w:rsid w:val="0021230D"/>
    <w:rsid w:val="002173E4"/>
    <w:rsid w:val="00220D56"/>
    <w:rsid w:val="00220EC9"/>
    <w:rsid w:val="00221698"/>
    <w:rsid w:val="0022203C"/>
    <w:rsid w:val="00222A1C"/>
    <w:rsid w:val="00224E2D"/>
    <w:rsid w:val="002266D8"/>
    <w:rsid w:val="002309D8"/>
    <w:rsid w:val="00232DDD"/>
    <w:rsid w:val="00233F24"/>
    <w:rsid w:val="0023440D"/>
    <w:rsid w:val="00234B00"/>
    <w:rsid w:val="00234BF1"/>
    <w:rsid w:val="00235D28"/>
    <w:rsid w:val="0023613B"/>
    <w:rsid w:val="002367B6"/>
    <w:rsid w:val="00241714"/>
    <w:rsid w:val="00243C26"/>
    <w:rsid w:val="002450C8"/>
    <w:rsid w:val="00245B72"/>
    <w:rsid w:val="002479C8"/>
    <w:rsid w:val="00250F9A"/>
    <w:rsid w:val="0025106F"/>
    <w:rsid w:val="00252C2D"/>
    <w:rsid w:val="00253A62"/>
    <w:rsid w:val="00253FD1"/>
    <w:rsid w:val="00255392"/>
    <w:rsid w:val="00255A79"/>
    <w:rsid w:val="00256129"/>
    <w:rsid w:val="00261854"/>
    <w:rsid w:val="0026366E"/>
    <w:rsid w:val="002636E6"/>
    <w:rsid w:val="00264A30"/>
    <w:rsid w:val="00265D48"/>
    <w:rsid w:val="002661C6"/>
    <w:rsid w:val="00266784"/>
    <w:rsid w:val="00266C71"/>
    <w:rsid w:val="00266E41"/>
    <w:rsid w:val="00267764"/>
    <w:rsid w:val="002679F8"/>
    <w:rsid w:val="00271228"/>
    <w:rsid w:val="00272727"/>
    <w:rsid w:val="00273AB0"/>
    <w:rsid w:val="00273E65"/>
    <w:rsid w:val="00275331"/>
    <w:rsid w:val="00276C0D"/>
    <w:rsid w:val="002776B7"/>
    <w:rsid w:val="00280734"/>
    <w:rsid w:val="00280D5E"/>
    <w:rsid w:val="002811C6"/>
    <w:rsid w:val="00281976"/>
    <w:rsid w:val="00282E98"/>
    <w:rsid w:val="00283949"/>
    <w:rsid w:val="00284DCE"/>
    <w:rsid w:val="002850D2"/>
    <w:rsid w:val="00287808"/>
    <w:rsid w:val="002879EE"/>
    <w:rsid w:val="00290999"/>
    <w:rsid w:val="002915B1"/>
    <w:rsid w:val="00291CC4"/>
    <w:rsid w:val="002959AA"/>
    <w:rsid w:val="002975F0"/>
    <w:rsid w:val="002A0BA1"/>
    <w:rsid w:val="002A14CC"/>
    <w:rsid w:val="002A1E60"/>
    <w:rsid w:val="002A1EE4"/>
    <w:rsid w:val="002A29D8"/>
    <w:rsid w:val="002A4AC5"/>
    <w:rsid w:val="002A5809"/>
    <w:rsid w:val="002A5AF4"/>
    <w:rsid w:val="002B11DC"/>
    <w:rsid w:val="002B3FAF"/>
    <w:rsid w:val="002B4307"/>
    <w:rsid w:val="002B4F65"/>
    <w:rsid w:val="002C06B2"/>
    <w:rsid w:val="002C1786"/>
    <w:rsid w:val="002C1952"/>
    <w:rsid w:val="002C3081"/>
    <w:rsid w:val="002C394A"/>
    <w:rsid w:val="002C3B58"/>
    <w:rsid w:val="002C4830"/>
    <w:rsid w:val="002C4ACB"/>
    <w:rsid w:val="002C4CED"/>
    <w:rsid w:val="002C698E"/>
    <w:rsid w:val="002C6ADC"/>
    <w:rsid w:val="002D01E2"/>
    <w:rsid w:val="002D06C9"/>
    <w:rsid w:val="002D0EF5"/>
    <w:rsid w:val="002D20BE"/>
    <w:rsid w:val="002D235E"/>
    <w:rsid w:val="002D2F92"/>
    <w:rsid w:val="002D3F79"/>
    <w:rsid w:val="002D4EF1"/>
    <w:rsid w:val="002D5264"/>
    <w:rsid w:val="002D5E74"/>
    <w:rsid w:val="002D69C5"/>
    <w:rsid w:val="002D7E20"/>
    <w:rsid w:val="002E1282"/>
    <w:rsid w:val="002E34F4"/>
    <w:rsid w:val="002E3A98"/>
    <w:rsid w:val="002E4586"/>
    <w:rsid w:val="002E66A2"/>
    <w:rsid w:val="002E6A01"/>
    <w:rsid w:val="002E7AC5"/>
    <w:rsid w:val="002F07FD"/>
    <w:rsid w:val="002F09F2"/>
    <w:rsid w:val="002F0C93"/>
    <w:rsid w:val="002F15F0"/>
    <w:rsid w:val="002F2459"/>
    <w:rsid w:val="002F2B16"/>
    <w:rsid w:val="002F3585"/>
    <w:rsid w:val="002F3A44"/>
    <w:rsid w:val="002F451C"/>
    <w:rsid w:val="002F4AAD"/>
    <w:rsid w:val="002F5ACD"/>
    <w:rsid w:val="002F6009"/>
    <w:rsid w:val="002F6BD9"/>
    <w:rsid w:val="002F6FDC"/>
    <w:rsid w:val="00300511"/>
    <w:rsid w:val="0030059B"/>
    <w:rsid w:val="003007AE"/>
    <w:rsid w:val="00301ADF"/>
    <w:rsid w:val="00302A11"/>
    <w:rsid w:val="003031A3"/>
    <w:rsid w:val="0030395A"/>
    <w:rsid w:val="00303B11"/>
    <w:rsid w:val="0030435C"/>
    <w:rsid w:val="00306638"/>
    <w:rsid w:val="003066D2"/>
    <w:rsid w:val="00306761"/>
    <w:rsid w:val="00307796"/>
    <w:rsid w:val="0031013F"/>
    <w:rsid w:val="003104BE"/>
    <w:rsid w:val="00310CE8"/>
    <w:rsid w:val="00310FCD"/>
    <w:rsid w:val="00312CBB"/>
    <w:rsid w:val="00312EE3"/>
    <w:rsid w:val="00314EA6"/>
    <w:rsid w:val="00315789"/>
    <w:rsid w:val="003159D3"/>
    <w:rsid w:val="00315DCE"/>
    <w:rsid w:val="00315FBC"/>
    <w:rsid w:val="00316973"/>
    <w:rsid w:val="00317D80"/>
    <w:rsid w:val="00320E7F"/>
    <w:rsid w:val="0032145C"/>
    <w:rsid w:val="003218A4"/>
    <w:rsid w:val="00322EF5"/>
    <w:rsid w:val="003258F8"/>
    <w:rsid w:val="0032635F"/>
    <w:rsid w:val="0032665F"/>
    <w:rsid w:val="00326AE7"/>
    <w:rsid w:val="0032710A"/>
    <w:rsid w:val="00327B9D"/>
    <w:rsid w:val="00330DD5"/>
    <w:rsid w:val="00331110"/>
    <w:rsid w:val="003315F6"/>
    <w:rsid w:val="003322F8"/>
    <w:rsid w:val="003343C0"/>
    <w:rsid w:val="00334508"/>
    <w:rsid w:val="003364EA"/>
    <w:rsid w:val="003367D2"/>
    <w:rsid w:val="00337181"/>
    <w:rsid w:val="00337B5E"/>
    <w:rsid w:val="00337DAD"/>
    <w:rsid w:val="00340AF7"/>
    <w:rsid w:val="00343508"/>
    <w:rsid w:val="0034618D"/>
    <w:rsid w:val="00347EF3"/>
    <w:rsid w:val="0035020C"/>
    <w:rsid w:val="0035047F"/>
    <w:rsid w:val="00351C39"/>
    <w:rsid w:val="00351C4F"/>
    <w:rsid w:val="00352248"/>
    <w:rsid w:val="00352A5E"/>
    <w:rsid w:val="003530C9"/>
    <w:rsid w:val="003539A4"/>
    <w:rsid w:val="00353BAA"/>
    <w:rsid w:val="00355684"/>
    <w:rsid w:val="00356809"/>
    <w:rsid w:val="00357A8C"/>
    <w:rsid w:val="00363757"/>
    <w:rsid w:val="00363E3E"/>
    <w:rsid w:val="00363F80"/>
    <w:rsid w:val="00364D5E"/>
    <w:rsid w:val="00364EE1"/>
    <w:rsid w:val="00365E16"/>
    <w:rsid w:val="0036761B"/>
    <w:rsid w:val="00370A01"/>
    <w:rsid w:val="00370C60"/>
    <w:rsid w:val="00371252"/>
    <w:rsid w:val="0037310A"/>
    <w:rsid w:val="00373674"/>
    <w:rsid w:val="00373EBB"/>
    <w:rsid w:val="003759AA"/>
    <w:rsid w:val="003777EA"/>
    <w:rsid w:val="00380312"/>
    <w:rsid w:val="003807B6"/>
    <w:rsid w:val="003814DA"/>
    <w:rsid w:val="0038208D"/>
    <w:rsid w:val="00386CEE"/>
    <w:rsid w:val="00386E77"/>
    <w:rsid w:val="00390875"/>
    <w:rsid w:val="003924B5"/>
    <w:rsid w:val="003928DF"/>
    <w:rsid w:val="00392A64"/>
    <w:rsid w:val="003934D4"/>
    <w:rsid w:val="003935E9"/>
    <w:rsid w:val="003935FF"/>
    <w:rsid w:val="00393EA8"/>
    <w:rsid w:val="0039489E"/>
    <w:rsid w:val="00396154"/>
    <w:rsid w:val="0039654A"/>
    <w:rsid w:val="0039685F"/>
    <w:rsid w:val="003A185A"/>
    <w:rsid w:val="003A2164"/>
    <w:rsid w:val="003A36F2"/>
    <w:rsid w:val="003A3E4B"/>
    <w:rsid w:val="003A478C"/>
    <w:rsid w:val="003A5545"/>
    <w:rsid w:val="003A58A9"/>
    <w:rsid w:val="003A7516"/>
    <w:rsid w:val="003B0000"/>
    <w:rsid w:val="003B1014"/>
    <w:rsid w:val="003B15A1"/>
    <w:rsid w:val="003B17DF"/>
    <w:rsid w:val="003B2AF7"/>
    <w:rsid w:val="003B38BC"/>
    <w:rsid w:val="003B4FF5"/>
    <w:rsid w:val="003B542B"/>
    <w:rsid w:val="003B5E12"/>
    <w:rsid w:val="003B71AC"/>
    <w:rsid w:val="003C02BA"/>
    <w:rsid w:val="003C0C5F"/>
    <w:rsid w:val="003C278C"/>
    <w:rsid w:val="003C2895"/>
    <w:rsid w:val="003C2975"/>
    <w:rsid w:val="003C29AB"/>
    <w:rsid w:val="003C35D9"/>
    <w:rsid w:val="003C37ED"/>
    <w:rsid w:val="003C42C2"/>
    <w:rsid w:val="003C42F3"/>
    <w:rsid w:val="003C58C0"/>
    <w:rsid w:val="003C620B"/>
    <w:rsid w:val="003C7E71"/>
    <w:rsid w:val="003D00E9"/>
    <w:rsid w:val="003D05EB"/>
    <w:rsid w:val="003D3A4E"/>
    <w:rsid w:val="003D4A63"/>
    <w:rsid w:val="003D5FD3"/>
    <w:rsid w:val="003D67AB"/>
    <w:rsid w:val="003D78C8"/>
    <w:rsid w:val="003D7F77"/>
    <w:rsid w:val="003E1D28"/>
    <w:rsid w:val="003E2277"/>
    <w:rsid w:val="003E3F2A"/>
    <w:rsid w:val="003E4652"/>
    <w:rsid w:val="003E4D9F"/>
    <w:rsid w:val="003E62A6"/>
    <w:rsid w:val="003E6F6F"/>
    <w:rsid w:val="003F1428"/>
    <w:rsid w:val="003F1DF3"/>
    <w:rsid w:val="003F1E4B"/>
    <w:rsid w:val="003F74F5"/>
    <w:rsid w:val="00400F9C"/>
    <w:rsid w:val="00401624"/>
    <w:rsid w:val="00401E29"/>
    <w:rsid w:val="0040297E"/>
    <w:rsid w:val="00403195"/>
    <w:rsid w:val="00403CBB"/>
    <w:rsid w:val="004073FC"/>
    <w:rsid w:val="00407E2B"/>
    <w:rsid w:val="00411F5B"/>
    <w:rsid w:val="0041226A"/>
    <w:rsid w:val="00415B03"/>
    <w:rsid w:val="00416557"/>
    <w:rsid w:val="0042172D"/>
    <w:rsid w:val="00421F22"/>
    <w:rsid w:val="004229CD"/>
    <w:rsid w:val="00422D18"/>
    <w:rsid w:val="00422E14"/>
    <w:rsid w:val="0042314F"/>
    <w:rsid w:val="00423D92"/>
    <w:rsid w:val="00424399"/>
    <w:rsid w:val="00424E70"/>
    <w:rsid w:val="0042575C"/>
    <w:rsid w:val="004259FB"/>
    <w:rsid w:val="00426610"/>
    <w:rsid w:val="00426F33"/>
    <w:rsid w:val="00427F9D"/>
    <w:rsid w:val="004324BA"/>
    <w:rsid w:val="00433B5B"/>
    <w:rsid w:val="0043428F"/>
    <w:rsid w:val="004350BF"/>
    <w:rsid w:val="004368C7"/>
    <w:rsid w:val="00436B81"/>
    <w:rsid w:val="00437C82"/>
    <w:rsid w:val="00437D97"/>
    <w:rsid w:val="00440246"/>
    <w:rsid w:val="00441416"/>
    <w:rsid w:val="00441EA2"/>
    <w:rsid w:val="00443482"/>
    <w:rsid w:val="00444338"/>
    <w:rsid w:val="0044478B"/>
    <w:rsid w:val="004448E8"/>
    <w:rsid w:val="004455DE"/>
    <w:rsid w:val="004464AD"/>
    <w:rsid w:val="0044761E"/>
    <w:rsid w:val="00447C76"/>
    <w:rsid w:val="0045032B"/>
    <w:rsid w:val="00450D1F"/>
    <w:rsid w:val="00451793"/>
    <w:rsid w:val="00451F39"/>
    <w:rsid w:val="004520CA"/>
    <w:rsid w:val="00452627"/>
    <w:rsid w:val="00452D30"/>
    <w:rsid w:val="00453B1C"/>
    <w:rsid w:val="00453F7B"/>
    <w:rsid w:val="00454837"/>
    <w:rsid w:val="00454F1F"/>
    <w:rsid w:val="00455110"/>
    <w:rsid w:val="004551E7"/>
    <w:rsid w:val="00455CDF"/>
    <w:rsid w:val="00455FCF"/>
    <w:rsid w:val="00456747"/>
    <w:rsid w:val="004570F3"/>
    <w:rsid w:val="00457B59"/>
    <w:rsid w:val="0046120F"/>
    <w:rsid w:val="00462625"/>
    <w:rsid w:val="00463422"/>
    <w:rsid w:val="00463509"/>
    <w:rsid w:val="004636AE"/>
    <w:rsid w:val="00463E1D"/>
    <w:rsid w:val="00464847"/>
    <w:rsid w:val="00464B69"/>
    <w:rsid w:val="00465101"/>
    <w:rsid w:val="00465EAC"/>
    <w:rsid w:val="00466623"/>
    <w:rsid w:val="0046785A"/>
    <w:rsid w:val="0047118E"/>
    <w:rsid w:val="004711A5"/>
    <w:rsid w:val="0047329C"/>
    <w:rsid w:val="00474222"/>
    <w:rsid w:val="00474AE0"/>
    <w:rsid w:val="00475A4B"/>
    <w:rsid w:val="004763AE"/>
    <w:rsid w:val="0047742A"/>
    <w:rsid w:val="004804AB"/>
    <w:rsid w:val="00480DF3"/>
    <w:rsid w:val="00481BDD"/>
    <w:rsid w:val="00482713"/>
    <w:rsid w:val="00482F8D"/>
    <w:rsid w:val="004849B8"/>
    <w:rsid w:val="00485686"/>
    <w:rsid w:val="004859EC"/>
    <w:rsid w:val="00485B72"/>
    <w:rsid w:val="00485F70"/>
    <w:rsid w:val="0048769B"/>
    <w:rsid w:val="00490B6C"/>
    <w:rsid w:val="00491002"/>
    <w:rsid w:val="004916FF"/>
    <w:rsid w:val="004918C9"/>
    <w:rsid w:val="00491FE7"/>
    <w:rsid w:val="00492BC5"/>
    <w:rsid w:val="00494C93"/>
    <w:rsid w:val="00497C6D"/>
    <w:rsid w:val="004A032E"/>
    <w:rsid w:val="004A0648"/>
    <w:rsid w:val="004A2CBB"/>
    <w:rsid w:val="004A42B1"/>
    <w:rsid w:val="004A66A6"/>
    <w:rsid w:val="004A7AF3"/>
    <w:rsid w:val="004A7FE1"/>
    <w:rsid w:val="004B2F2B"/>
    <w:rsid w:val="004B3490"/>
    <w:rsid w:val="004B420E"/>
    <w:rsid w:val="004B44A2"/>
    <w:rsid w:val="004B5168"/>
    <w:rsid w:val="004B6FDE"/>
    <w:rsid w:val="004B702F"/>
    <w:rsid w:val="004C3018"/>
    <w:rsid w:val="004C30BA"/>
    <w:rsid w:val="004C3286"/>
    <w:rsid w:val="004C4E09"/>
    <w:rsid w:val="004C6D6C"/>
    <w:rsid w:val="004D189B"/>
    <w:rsid w:val="004D2F42"/>
    <w:rsid w:val="004D2F6D"/>
    <w:rsid w:val="004D3BCD"/>
    <w:rsid w:val="004D3E1A"/>
    <w:rsid w:val="004D4C54"/>
    <w:rsid w:val="004D4C9E"/>
    <w:rsid w:val="004D507A"/>
    <w:rsid w:val="004D57AF"/>
    <w:rsid w:val="004D675C"/>
    <w:rsid w:val="004E0470"/>
    <w:rsid w:val="004E224B"/>
    <w:rsid w:val="004E42AB"/>
    <w:rsid w:val="004E4F6C"/>
    <w:rsid w:val="004E4F8C"/>
    <w:rsid w:val="004E6073"/>
    <w:rsid w:val="004E6267"/>
    <w:rsid w:val="004E6457"/>
    <w:rsid w:val="004E6E84"/>
    <w:rsid w:val="004E7633"/>
    <w:rsid w:val="004E7715"/>
    <w:rsid w:val="004E7E4B"/>
    <w:rsid w:val="004F0687"/>
    <w:rsid w:val="004F108F"/>
    <w:rsid w:val="004F15D2"/>
    <w:rsid w:val="004F4F27"/>
    <w:rsid w:val="004F62F3"/>
    <w:rsid w:val="00501CF4"/>
    <w:rsid w:val="00501CF6"/>
    <w:rsid w:val="00502170"/>
    <w:rsid w:val="00503300"/>
    <w:rsid w:val="005039E7"/>
    <w:rsid w:val="005041EC"/>
    <w:rsid w:val="00504747"/>
    <w:rsid w:val="005048FF"/>
    <w:rsid w:val="005053E5"/>
    <w:rsid w:val="00505C67"/>
    <w:rsid w:val="00506AD8"/>
    <w:rsid w:val="00507614"/>
    <w:rsid w:val="0050793D"/>
    <w:rsid w:val="00510612"/>
    <w:rsid w:val="00510EF2"/>
    <w:rsid w:val="00512175"/>
    <w:rsid w:val="00512937"/>
    <w:rsid w:val="005134A0"/>
    <w:rsid w:val="00514CE5"/>
    <w:rsid w:val="0051547E"/>
    <w:rsid w:val="00517D68"/>
    <w:rsid w:val="00521552"/>
    <w:rsid w:val="00522BCB"/>
    <w:rsid w:val="005248B9"/>
    <w:rsid w:val="0052562D"/>
    <w:rsid w:val="005258CE"/>
    <w:rsid w:val="005259A5"/>
    <w:rsid w:val="005263FE"/>
    <w:rsid w:val="005267CA"/>
    <w:rsid w:val="00531E8F"/>
    <w:rsid w:val="00533559"/>
    <w:rsid w:val="005350BE"/>
    <w:rsid w:val="00535B10"/>
    <w:rsid w:val="0053612B"/>
    <w:rsid w:val="00536535"/>
    <w:rsid w:val="00536CB4"/>
    <w:rsid w:val="00537606"/>
    <w:rsid w:val="005378BB"/>
    <w:rsid w:val="00537944"/>
    <w:rsid w:val="00540613"/>
    <w:rsid w:val="00541072"/>
    <w:rsid w:val="005429E2"/>
    <w:rsid w:val="00542B55"/>
    <w:rsid w:val="00542E3E"/>
    <w:rsid w:val="0054435C"/>
    <w:rsid w:val="005459D2"/>
    <w:rsid w:val="005471FD"/>
    <w:rsid w:val="005501B1"/>
    <w:rsid w:val="005507B4"/>
    <w:rsid w:val="00552376"/>
    <w:rsid w:val="0055261F"/>
    <w:rsid w:val="00552896"/>
    <w:rsid w:val="00553E3F"/>
    <w:rsid w:val="005547E7"/>
    <w:rsid w:val="00554B19"/>
    <w:rsid w:val="00560EBE"/>
    <w:rsid w:val="00563725"/>
    <w:rsid w:val="00564C4D"/>
    <w:rsid w:val="00565389"/>
    <w:rsid w:val="005658BB"/>
    <w:rsid w:val="00566072"/>
    <w:rsid w:val="0056678E"/>
    <w:rsid w:val="0057073E"/>
    <w:rsid w:val="0057547F"/>
    <w:rsid w:val="00575E81"/>
    <w:rsid w:val="0058061F"/>
    <w:rsid w:val="005807C3"/>
    <w:rsid w:val="00583E05"/>
    <w:rsid w:val="00584889"/>
    <w:rsid w:val="0058683C"/>
    <w:rsid w:val="005903B4"/>
    <w:rsid w:val="0059043A"/>
    <w:rsid w:val="00590A6D"/>
    <w:rsid w:val="0059140E"/>
    <w:rsid w:val="00593FF1"/>
    <w:rsid w:val="00594B7A"/>
    <w:rsid w:val="00595C03"/>
    <w:rsid w:val="00596902"/>
    <w:rsid w:val="005974FA"/>
    <w:rsid w:val="00597CB9"/>
    <w:rsid w:val="00597E07"/>
    <w:rsid w:val="005A0E38"/>
    <w:rsid w:val="005A1831"/>
    <w:rsid w:val="005A19E0"/>
    <w:rsid w:val="005A40F9"/>
    <w:rsid w:val="005A4DF4"/>
    <w:rsid w:val="005A5BD8"/>
    <w:rsid w:val="005A64C1"/>
    <w:rsid w:val="005A681C"/>
    <w:rsid w:val="005A76D5"/>
    <w:rsid w:val="005A7FA2"/>
    <w:rsid w:val="005B1D66"/>
    <w:rsid w:val="005B1E72"/>
    <w:rsid w:val="005B3894"/>
    <w:rsid w:val="005B4DFD"/>
    <w:rsid w:val="005B63FE"/>
    <w:rsid w:val="005B6EE3"/>
    <w:rsid w:val="005C0D68"/>
    <w:rsid w:val="005C251D"/>
    <w:rsid w:val="005C7C07"/>
    <w:rsid w:val="005D0ACA"/>
    <w:rsid w:val="005D0D71"/>
    <w:rsid w:val="005D3824"/>
    <w:rsid w:val="005D4527"/>
    <w:rsid w:val="005D4704"/>
    <w:rsid w:val="005D4BA1"/>
    <w:rsid w:val="005D6360"/>
    <w:rsid w:val="005E1E1F"/>
    <w:rsid w:val="005E1ECE"/>
    <w:rsid w:val="005E371C"/>
    <w:rsid w:val="005E3E28"/>
    <w:rsid w:val="005E469B"/>
    <w:rsid w:val="005E48A8"/>
    <w:rsid w:val="005E49D2"/>
    <w:rsid w:val="005E52D5"/>
    <w:rsid w:val="005E66CF"/>
    <w:rsid w:val="005E6D41"/>
    <w:rsid w:val="005F25B3"/>
    <w:rsid w:val="005F29BB"/>
    <w:rsid w:val="005F2A41"/>
    <w:rsid w:val="005F2A90"/>
    <w:rsid w:val="005F2D30"/>
    <w:rsid w:val="005F3110"/>
    <w:rsid w:val="005F33BE"/>
    <w:rsid w:val="005F5077"/>
    <w:rsid w:val="005F5211"/>
    <w:rsid w:val="005F545F"/>
    <w:rsid w:val="005F7E25"/>
    <w:rsid w:val="006000D0"/>
    <w:rsid w:val="006007C3"/>
    <w:rsid w:val="00600A22"/>
    <w:rsid w:val="006028B3"/>
    <w:rsid w:val="0060372B"/>
    <w:rsid w:val="00603B80"/>
    <w:rsid w:val="006041C3"/>
    <w:rsid w:val="00604512"/>
    <w:rsid w:val="00604CD6"/>
    <w:rsid w:val="00604DE1"/>
    <w:rsid w:val="0060526B"/>
    <w:rsid w:val="00605A52"/>
    <w:rsid w:val="00605E60"/>
    <w:rsid w:val="0060604F"/>
    <w:rsid w:val="006065EF"/>
    <w:rsid w:val="0060792B"/>
    <w:rsid w:val="00607F51"/>
    <w:rsid w:val="00610ACA"/>
    <w:rsid w:val="00612B99"/>
    <w:rsid w:val="00614269"/>
    <w:rsid w:val="00615C69"/>
    <w:rsid w:val="006179FA"/>
    <w:rsid w:val="00620860"/>
    <w:rsid w:val="00620EFD"/>
    <w:rsid w:val="00622035"/>
    <w:rsid w:val="00622E3A"/>
    <w:rsid w:val="0062318B"/>
    <w:rsid w:val="006239D2"/>
    <w:rsid w:val="00623F4B"/>
    <w:rsid w:val="00624195"/>
    <w:rsid w:val="006241E5"/>
    <w:rsid w:val="0062458E"/>
    <w:rsid w:val="00625B29"/>
    <w:rsid w:val="00626863"/>
    <w:rsid w:val="006269AE"/>
    <w:rsid w:val="00626D47"/>
    <w:rsid w:val="00631AA4"/>
    <w:rsid w:val="00631DF2"/>
    <w:rsid w:val="00631FA2"/>
    <w:rsid w:val="006324AD"/>
    <w:rsid w:val="006325E2"/>
    <w:rsid w:val="00632734"/>
    <w:rsid w:val="006339FF"/>
    <w:rsid w:val="00634148"/>
    <w:rsid w:val="0063631F"/>
    <w:rsid w:val="00636A7D"/>
    <w:rsid w:val="006372A9"/>
    <w:rsid w:val="006373B3"/>
    <w:rsid w:val="0064060A"/>
    <w:rsid w:val="006406BF"/>
    <w:rsid w:val="006417E3"/>
    <w:rsid w:val="00641F8D"/>
    <w:rsid w:val="00642025"/>
    <w:rsid w:val="006430B4"/>
    <w:rsid w:val="00643116"/>
    <w:rsid w:val="00643E17"/>
    <w:rsid w:val="00644734"/>
    <w:rsid w:val="00644E04"/>
    <w:rsid w:val="00646DC5"/>
    <w:rsid w:val="00646EB7"/>
    <w:rsid w:val="00650CC3"/>
    <w:rsid w:val="00653B39"/>
    <w:rsid w:val="00653C5D"/>
    <w:rsid w:val="00655450"/>
    <w:rsid w:val="00655E82"/>
    <w:rsid w:val="00657D5C"/>
    <w:rsid w:val="00657DD4"/>
    <w:rsid w:val="00660176"/>
    <w:rsid w:val="00660848"/>
    <w:rsid w:val="00660944"/>
    <w:rsid w:val="00660959"/>
    <w:rsid w:val="00661417"/>
    <w:rsid w:val="00661A5E"/>
    <w:rsid w:val="0066203F"/>
    <w:rsid w:val="00664606"/>
    <w:rsid w:val="0066483F"/>
    <w:rsid w:val="00664CDA"/>
    <w:rsid w:val="00664F0A"/>
    <w:rsid w:val="00665876"/>
    <w:rsid w:val="00667688"/>
    <w:rsid w:val="00667BCE"/>
    <w:rsid w:val="00670165"/>
    <w:rsid w:val="006708FA"/>
    <w:rsid w:val="0067092A"/>
    <w:rsid w:val="00671A23"/>
    <w:rsid w:val="00671CAE"/>
    <w:rsid w:val="00673191"/>
    <w:rsid w:val="0067512F"/>
    <w:rsid w:val="00675916"/>
    <w:rsid w:val="006764A5"/>
    <w:rsid w:val="00676538"/>
    <w:rsid w:val="006767C3"/>
    <w:rsid w:val="00676A95"/>
    <w:rsid w:val="00676BD6"/>
    <w:rsid w:val="006775B8"/>
    <w:rsid w:val="00677642"/>
    <w:rsid w:val="0068065E"/>
    <w:rsid w:val="00681627"/>
    <w:rsid w:val="00681C38"/>
    <w:rsid w:val="006835F3"/>
    <w:rsid w:val="00684354"/>
    <w:rsid w:val="00684FA9"/>
    <w:rsid w:val="00685638"/>
    <w:rsid w:val="00685CE7"/>
    <w:rsid w:val="00686160"/>
    <w:rsid w:val="00686A38"/>
    <w:rsid w:val="00686A3F"/>
    <w:rsid w:val="00686AB5"/>
    <w:rsid w:val="00686FAD"/>
    <w:rsid w:val="006870C7"/>
    <w:rsid w:val="006879F3"/>
    <w:rsid w:val="0069173C"/>
    <w:rsid w:val="00691BA4"/>
    <w:rsid w:val="00691E15"/>
    <w:rsid w:val="00693AD4"/>
    <w:rsid w:val="00694A95"/>
    <w:rsid w:val="0069592E"/>
    <w:rsid w:val="00696E08"/>
    <w:rsid w:val="00696E5B"/>
    <w:rsid w:val="006A0338"/>
    <w:rsid w:val="006A1A41"/>
    <w:rsid w:val="006A3583"/>
    <w:rsid w:val="006A3A7C"/>
    <w:rsid w:val="006B05EE"/>
    <w:rsid w:val="006B0615"/>
    <w:rsid w:val="006B1676"/>
    <w:rsid w:val="006B3237"/>
    <w:rsid w:val="006B3B92"/>
    <w:rsid w:val="006B40F9"/>
    <w:rsid w:val="006B4A99"/>
    <w:rsid w:val="006B6671"/>
    <w:rsid w:val="006C1972"/>
    <w:rsid w:val="006C28EA"/>
    <w:rsid w:val="006C2D75"/>
    <w:rsid w:val="006C35B9"/>
    <w:rsid w:val="006C6A8E"/>
    <w:rsid w:val="006C72C0"/>
    <w:rsid w:val="006C7FF3"/>
    <w:rsid w:val="006D07C5"/>
    <w:rsid w:val="006D0805"/>
    <w:rsid w:val="006D0CE0"/>
    <w:rsid w:val="006D2198"/>
    <w:rsid w:val="006D234B"/>
    <w:rsid w:val="006D24EA"/>
    <w:rsid w:val="006D358C"/>
    <w:rsid w:val="006D4F90"/>
    <w:rsid w:val="006D6C2D"/>
    <w:rsid w:val="006D7199"/>
    <w:rsid w:val="006E0ECE"/>
    <w:rsid w:val="006E192B"/>
    <w:rsid w:val="006E1B61"/>
    <w:rsid w:val="006E48A4"/>
    <w:rsid w:val="006E4A98"/>
    <w:rsid w:val="006E5F68"/>
    <w:rsid w:val="006E6C61"/>
    <w:rsid w:val="006F0758"/>
    <w:rsid w:val="006F3A18"/>
    <w:rsid w:val="006F3F02"/>
    <w:rsid w:val="0070191D"/>
    <w:rsid w:val="00702FF4"/>
    <w:rsid w:val="00707378"/>
    <w:rsid w:val="007079C2"/>
    <w:rsid w:val="00707B21"/>
    <w:rsid w:val="00707CDD"/>
    <w:rsid w:val="00711B5A"/>
    <w:rsid w:val="0071224F"/>
    <w:rsid w:val="00714365"/>
    <w:rsid w:val="00716770"/>
    <w:rsid w:val="00717B07"/>
    <w:rsid w:val="00717C77"/>
    <w:rsid w:val="00721337"/>
    <w:rsid w:val="00722791"/>
    <w:rsid w:val="007243D4"/>
    <w:rsid w:val="00724680"/>
    <w:rsid w:val="00724F71"/>
    <w:rsid w:val="00725E08"/>
    <w:rsid w:val="00726583"/>
    <w:rsid w:val="00730988"/>
    <w:rsid w:val="00730A27"/>
    <w:rsid w:val="0073141C"/>
    <w:rsid w:val="00732617"/>
    <w:rsid w:val="0073292D"/>
    <w:rsid w:val="00733823"/>
    <w:rsid w:val="007346C9"/>
    <w:rsid w:val="00734984"/>
    <w:rsid w:val="00735302"/>
    <w:rsid w:val="00736AAD"/>
    <w:rsid w:val="00737133"/>
    <w:rsid w:val="007376DB"/>
    <w:rsid w:val="00740776"/>
    <w:rsid w:val="00740F23"/>
    <w:rsid w:val="0074198F"/>
    <w:rsid w:val="00742C68"/>
    <w:rsid w:val="00742CA9"/>
    <w:rsid w:val="00743617"/>
    <w:rsid w:val="0074378D"/>
    <w:rsid w:val="0074460D"/>
    <w:rsid w:val="0074476F"/>
    <w:rsid w:val="007455EB"/>
    <w:rsid w:val="00745C35"/>
    <w:rsid w:val="007462DF"/>
    <w:rsid w:val="00746863"/>
    <w:rsid w:val="00747DBC"/>
    <w:rsid w:val="00747ED1"/>
    <w:rsid w:val="00750762"/>
    <w:rsid w:val="00750EB0"/>
    <w:rsid w:val="00754AF8"/>
    <w:rsid w:val="00755308"/>
    <w:rsid w:val="00756FB2"/>
    <w:rsid w:val="00757E5D"/>
    <w:rsid w:val="00760ED6"/>
    <w:rsid w:val="00762AF0"/>
    <w:rsid w:val="00763BF7"/>
    <w:rsid w:val="00765B10"/>
    <w:rsid w:val="00765F90"/>
    <w:rsid w:val="00766060"/>
    <w:rsid w:val="0076690B"/>
    <w:rsid w:val="00766A0A"/>
    <w:rsid w:val="007674C0"/>
    <w:rsid w:val="007675F3"/>
    <w:rsid w:val="00767CD9"/>
    <w:rsid w:val="00767D14"/>
    <w:rsid w:val="00770426"/>
    <w:rsid w:val="00770609"/>
    <w:rsid w:val="007718D9"/>
    <w:rsid w:val="007718E6"/>
    <w:rsid w:val="0077251D"/>
    <w:rsid w:val="00773268"/>
    <w:rsid w:val="007736BD"/>
    <w:rsid w:val="0077428E"/>
    <w:rsid w:val="00774B2D"/>
    <w:rsid w:val="00774D54"/>
    <w:rsid w:val="007762A5"/>
    <w:rsid w:val="0077652A"/>
    <w:rsid w:val="00776FFF"/>
    <w:rsid w:val="00777124"/>
    <w:rsid w:val="0077736F"/>
    <w:rsid w:val="007801B6"/>
    <w:rsid w:val="00781080"/>
    <w:rsid w:val="00783B4A"/>
    <w:rsid w:val="007849E8"/>
    <w:rsid w:val="007853B3"/>
    <w:rsid w:val="00786834"/>
    <w:rsid w:val="00786A26"/>
    <w:rsid w:val="007871E3"/>
    <w:rsid w:val="0078730D"/>
    <w:rsid w:val="007876FA"/>
    <w:rsid w:val="00787768"/>
    <w:rsid w:val="00790A51"/>
    <w:rsid w:val="00790C4F"/>
    <w:rsid w:val="00790E27"/>
    <w:rsid w:val="00790ED8"/>
    <w:rsid w:val="00792125"/>
    <w:rsid w:val="00792561"/>
    <w:rsid w:val="007936AD"/>
    <w:rsid w:val="00793ACA"/>
    <w:rsid w:val="00794838"/>
    <w:rsid w:val="00794874"/>
    <w:rsid w:val="00794A37"/>
    <w:rsid w:val="00794ADF"/>
    <w:rsid w:val="007957CE"/>
    <w:rsid w:val="00797AD8"/>
    <w:rsid w:val="007A0DA6"/>
    <w:rsid w:val="007A1386"/>
    <w:rsid w:val="007A16E6"/>
    <w:rsid w:val="007A1E32"/>
    <w:rsid w:val="007A24A1"/>
    <w:rsid w:val="007A24D1"/>
    <w:rsid w:val="007A345D"/>
    <w:rsid w:val="007A3A93"/>
    <w:rsid w:val="007A4DD1"/>
    <w:rsid w:val="007A629F"/>
    <w:rsid w:val="007A6864"/>
    <w:rsid w:val="007A6BAD"/>
    <w:rsid w:val="007A6D8F"/>
    <w:rsid w:val="007A7B9A"/>
    <w:rsid w:val="007B0081"/>
    <w:rsid w:val="007B1893"/>
    <w:rsid w:val="007B1AF6"/>
    <w:rsid w:val="007B1D80"/>
    <w:rsid w:val="007B4841"/>
    <w:rsid w:val="007B5584"/>
    <w:rsid w:val="007B77D3"/>
    <w:rsid w:val="007C0BB9"/>
    <w:rsid w:val="007C11D8"/>
    <w:rsid w:val="007C278C"/>
    <w:rsid w:val="007C313C"/>
    <w:rsid w:val="007C4F16"/>
    <w:rsid w:val="007C500D"/>
    <w:rsid w:val="007D0630"/>
    <w:rsid w:val="007D0A7B"/>
    <w:rsid w:val="007D1AD5"/>
    <w:rsid w:val="007D2DBF"/>
    <w:rsid w:val="007D3929"/>
    <w:rsid w:val="007D619A"/>
    <w:rsid w:val="007D7632"/>
    <w:rsid w:val="007E01E1"/>
    <w:rsid w:val="007E0D23"/>
    <w:rsid w:val="007E237B"/>
    <w:rsid w:val="007E2B2C"/>
    <w:rsid w:val="007E36DF"/>
    <w:rsid w:val="007E547C"/>
    <w:rsid w:val="007E6230"/>
    <w:rsid w:val="007F0821"/>
    <w:rsid w:val="007F1F72"/>
    <w:rsid w:val="007F2DA1"/>
    <w:rsid w:val="007F53A4"/>
    <w:rsid w:val="007F70E9"/>
    <w:rsid w:val="007F7A3F"/>
    <w:rsid w:val="007F7E45"/>
    <w:rsid w:val="00800C72"/>
    <w:rsid w:val="00801040"/>
    <w:rsid w:val="0080211F"/>
    <w:rsid w:val="008042C2"/>
    <w:rsid w:val="00804ECE"/>
    <w:rsid w:val="008050FF"/>
    <w:rsid w:val="00806239"/>
    <w:rsid w:val="00811CFC"/>
    <w:rsid w:val="00813049"/>
    <w:rsid w:val="0081393A"/>
    <w:rsid w:val="008146C1"/>
    <w:rsid w:val="0081489A"/>
    <w:rsid w:val="008149F6"/>
    <w:rsid w:val="00815170"/>
    <w:rsid w:val="00815307"/>
    <w:rsid w:val="00815A8A"/>
    <w:rsid w:val="00815FBA"/>
    <w:rsid w:val="0081659F"/>
    <w:rsid w:val="008166FB"/>
    <w:rsid w:val="00816969"/>
    <w:rsid w:val="00820144"/>
    <w:rsid w:val="008204F8"/>
    <w:rsid w:val="00820FAE"/>
    <w:rsid w:val="008214A6"/>
    <w:rsid w:val="008221DE"/>
    <w:rsid w:val="008222BF"/>
    <w:rsid w:val="0082324D"/>
    <w:rsid w:val="00824B15"/>
    <w:rsid w:val="008253C6"/>
    <w:rsid w:val="00825858"/>
    <w:rsid w:val="00825B5F"/>
    <w:rsid w:val="008260A6"/>
    <w:rsid w:val="0082774D"/>
    <w:rsid w:val="00827C52"/>
    <w:rsid w:val="00827E6A"/>
    <w:rsid w:val="0083118E"/>
    <w:rsid w:val="008327B0"/>
    <w:rsid w:val="0083340D"/>
    <w:rsid w:val="00834746"/>
    <w:rsid w:val="00834C02"/>
    <w:rsid w:val="00834E95"/>
    <w:rsid w:val="00835E0C"/>
    <w:rsid w:val="0083725C"/>
    <w:rsid w:val="00840F1C"/>
    <w:rsid w:val="0084145D"/>
    <w:rsid w:val="0084214E"/>
    <w:rsid w:val="00842CAC"/>
    <w:rsid w:val="008448CB"/>
    <w:rsid w:val="008453B1"/>
    <w:rsid w:val="00846414"/>
    <w:rsid w:val="008475C4"/>
    <w:rsid w:val="008478EA"/>
    <w:rsid w:val="00851CED"/>
    <w:rsid w:val="00853BCA"/>
    <w:rsid w:val="00853C78"/>
    <w:rsid w:val="00853EC2"/>
    <w:rsid w:val="00854073"/>
    <w:rsid w:val="00855B57"/>
    <w:rsid w:val="0085654F"/>
    <w:rsid w:val="00857E2E"/>
    <w:rsid w:val="00860DDB"/>
    <w:rsid w:val="00860E08"/>
    <w:rsid w:val="00861146"/>
    <w:rsid w:val="00862C27"/>
    <w:rsid w:val="00862E91"/>
    <w:rsid w:val="00862EE5"/>
    <w:rsid w:val="00863856"/>
    <w:rsid w:val="00863C25"/>
    <w:rsid w:val="00866DFB"/>
    <w:rsid w:val="00867878"/>
    <w:rsid w:val="0087071B"/>
    <w:rsid w:val="00870BC5"/>
    <w:rsid w:val="0087537C"/>
    <w:rsid w:val="00875895"/>
    <w:rsid w:val="00875F4B"/>
    <w:rsid w:val="00876615"/>
    <w:rsid w:val="00876C84"/>
    <w:rsid w:val="00876E16"/>
    <w:rsid w:val="00876F5F"/>
    <w:rsid w:val="0087744F"/>
    <w:rsid w:val="00877B9F"/>
    <w:rsid w:val="00881449"/>
    <w:rsid w:val="00882073"/>
    <w:rsid w:val="00883011"/>
    <w:rsid w:val="00883B67"/>
    <w:rsid w:val="008842DC"/>
    <w:rsid w:val="0088481D"/>
    <w:rsid w:val="00885359"/>
    <w:rsid w:val="00887D75"/>
    <w:rsid w:val="008900DB"/>
    <w:rsid w:val="00891081"/>
    <w:rsid w:val="00894045"/>
    <w:rsid w:val="008945B8"/>
    <w:rsid w:val="00895B40"/>
    <w:rsid w:val="00896586"/>
    <w:rsid w:val="00897000"/>
    <w:rsid w:val="00897A61"/>
    <w:rsid w:val="008A0492"/>
    <w:rsid w:val="008A1E14"/>
    <w:rsid w:val="008A5882"/>
    <w:rsid w:val="008A5A3C"/>
    <w:rsid w:val="008A5DDD"/>
    <w:rsid w:val="008A6194"/>
    <w:rsid w:val="008A627D"/>
    <w:rsid w:val="008A669E"/>
    <w:rsid w:val="008B1076"/>
    <w:rsid w:val="008B3472"/>
    <w:rsid w:val="008B4A2E"/>
    <w:rsid w:val="008B57DC"/>
    <w:rsid w:val="008B6357"/>
    <w:rsid w:val="008B7B2C"/>
    <w:rsid w:val="008C0E54"/>
    <w:rsid w:val="008C0E76"/>
    <w:rsid w:val="008C0F7D"/>
    <w:rsid w:val="008C23C4"/>
    <w:rsid w:val="008C2B4E"/>
    <w:rsid w:val="008C311D"/>
    <w:rsid w:val="008C3D7F"/>
    <w:rsid w:val="008C431F"/>
    <w:rsid w:val="008C75A6"/>
    <w:rsid w:val="008D1413"/>
    <w:rsid w:val="008D14D4"/>
    <w:rsid w:val="008D19A5"/>
    <w:rsid w:val="008D3998"/>
    <w:rsid w:val="008D4079"/>
    <w:rsid w:val="008D595A"/>
    <w:rsid w:val="008D5D60"/>
    <w:rsid w:val="008D7010"/>
    <w:rsid w:val="008D763F"/>
    <w:rsid w:val="008E02BB"/>
    <w:rsid w:val="008E09B8"/>
    <w:rsid w:val="008E34EB"/>
    <w:rsid w:val="008E393F"/>
    <w:rsid w:val="008E4C8F"/>
    <w:rsid w:val="008E5451"/>
    <w:rsid w:val="008E67A4"/>
    <w:rsid w:val="008E71E5"/>
    <w:rsid w:val="008E7531"/>
    <w:rsid w:val="008E75D0"/>
    <w:rsid w:val="008E75D6"/>
    <w:rsid w:val="008E7C7D"/>
    <w:rsid w:val="008E7D73"/>
    <w:rsid w:val="008F03C6"/>
    <w:rsid w:val="008F0E80"/>
    <w:rsid w:val="008F1014"/>
    <w:rsid w:val="008F1C5A"/>
    <w:rsid w:val="008F276C"/>
    <w:rsid w:val="008F53B0"/>
    <w:rsid w:val="008F5ED5"/>
    <w:rsid w:val="008F623C"/>
    <w:rsid w:val="008F649C"/>
    <w:rsid w:val="008F6522"/>
    <w:rsid w:val="008F7927"/>
    <w:rsid w:val="008F7CFE"/>
    <w:rsid w:val="0090050D"/>
    <w:rsid w:val="00900788"/>
    <w:rsid w:val="00900A69"/>
    <w:rsid w:val="00900FBA"/>
    <w:rsid w:val="00901424"/>
    <w:rsid w:val="00902941"/>
    <w:rsid w:val="00902C21"/>
    <w:rsid w:val="009037A4"/>
    <w:rsid w:val="00904DFA"/>
    <w:rsid w:val="00905465"/>
    <w:rsid w:val="00905CE4"/>
    <w:rsid w:val="0090621B"/>
    <w:rsid w:val="00906353"/>
    <w:rsid w:val="00907E86"/>
    <w:rsid w:val="00910493"/>
    <w:rsid w:val="009105B6"/>
    <w:rsid w:val="00910684"/>
    <w:rsid w:val="009107A6"/>
    <w:rsid w:val="009117DC"/>
    <w:rsid w:val="00912D2D"/>
    <w:rsid w:val="009136AD"/>
    <w:rsid w:val="00914257"/>
    <w:rsid w:val="00914446"/>
    <w:rsid w:val="009149AB"/>
    <w:rsid w:val="00915D47"/>
    <w:rsid w:val="00915EED"/>
    <w:rsid w:val="00916666"/>
    <w:rsid w:val="00916F78"/>
    <w:rsid w:val="0092162D"/>
    <w:rsid w:val="00922593"/>
    <w:rsid w:val="0092302C"/>
    <w:rsid w:val="00923EF9"/>
    <w:rsid w:val="0092560C"/>
    <w:rsid w:val="009258EA"/>
    <w:rsid w:val="00925D79"/>
    <w:rsid w:val="00927272"/>
    <w:rsid w:val="00931424"/>
    <w:rsid w:val="009316A5"/>
    <w:rsid w:val="00931727"/>
    <w:rsid w:val="00935511"/>
    <w:rsid w:val="00936639"/>
    <w:rsid w:val="00936E99"/>
    <w:rsid w:val="00937F86"/>
    <w:rsid w:val="009406F9"/>
    <w:rsid w:val="00941EEB"/>
    <w:rsid w:val="009422DB"/>
    <w:rsid w:val="00942321"/>
    <w:rsid w:val="009423E7"/>
    <w:rsid w:val="009428EC"/>
    <w:rsid w:val="00943659"/>
    <w:rsid w:val="00944138"/>
    <w:rsid w:val="0094576E"/>
    <w:rsid w:val="00945B95"/>
    <w:rsid w:val="00945D07"/>
    <w:rsid w:val="009466E4"/>
    <w:rsid w:val="009468E0"/>
    <w:rsid w:val="00946D5E"/>
    <w:rsid w:val="009520AD"/>
    <w:rsid w:val="00952DBD"/>
    <w:rsid w:val="0095482D"/>
    <w:rsid w:val="00956133"/>
    <w:rsid w:val="00956748"/>
    <w:rsid w:val="00956B72"/>
    <w:rsid w:val="00957389"/>
    <w:rsid w:val="00961C08"/>
    <w:rsid w:val="009638C3"/>
    <w:rsid w:val="00963D79"/>
    <w:rsid w:val="00964885"/>
    <w:rsid w:val="0096682D"/>
    <w:rsid w:val="00966C10"/>
    <w:rsid w:val="009675A3"/>
    <w:rsid w:val="00967B0F"/>
    <w:rsid w:val="009707E0"/>
    <w:rsid w:val="00970C5F"/>
    <w:rsid w:val="00972E66"/>
    <w:rsid w:val="009736C9"/>
    <w:rsid w:val="00977106"/>
    <w:rsid w:val="00977F7F"/>
    <w:rsid w:val="00980972"/>
    <w:rsid w:val="0098214F"/>
    <w:rsid w:val="0098236E"/>
    <w:rsid w:val="009856DF"/>
    <w:rsid w:val="00985D1A"/>
    <w:rsid w:val="00987324"/>
    <w:rsid w:val="00987970"/>
    <w:rsid w:val="00991164"/>
    <w:rsid w:val="009911A0"/>
    <w:rsid w:val="00991DCA"/>
    <w:rsid w:val="00991FBB"/>
    <w:rsid w:val="009928E9"/>
    <w:rsid w:val="0099316D"/>
    <w:rsid w:val="009933B2"/>
    <w:rsid w:val="00994D58"/>
    <w:rsid w:val="00997AAA"/>
    <w:rsid w:val="009A02BD"/>
    <w:rsid w:val="009A165A"/>
    <w:rsid w:val="009A2235"/>
    <w:rsid w:val="009A32A0"/>
    <w:rsid w:val="009A3AD9"/>
    <w:rsid w:val="009A46EE"/>
    <w:rsid w:val="009A47F0"/>
    <w:rsid w:val="009A6652"/>
    <w:rsid w:val="009A68E2"/>
    <w:rsid w:val="009A6C7A"/>
    <w:rsid w:val="009B000A"/>
    <w:rsid w:val="009B04FF"/>
    <w:rsid w:val="009B16F4"/>
    <w:rsid w:val="009B17DF"/>
    <w:rsid w:val="009B1AEC"/>
    <w:rsid w:val="009B5DA4"/>
    <w:rsid w:val="009B73C3"/>
    <w:rsid w:val="009B7BDF"/>
    <w:rsid w:val="009B7CCE"/>
    <w:rsid w:val="009C086D"/>
    <w:rsid w:val="009C1547"/>
    <w:rsid w:val="009C1B19"/>
    <w:rsid w:val="009C214F"/>
    <w:rsid w:val="009C24EF"/>
    <w:rsid w:val="009C2C58"/>
    <w:rsid w:val="009C322C"/>
    <w:rsid w:val="009C4F4B"/>
    <w:rsid w:val="009C6766"/>
    <w:rsid w:val="009C6F99"/>
    <w:rsid w:val="009C7008"/>
    <w:rsid w:val="009C732F"/>
    <w:rsid w:val="009C77E4"/>
    <w:rsid w:val="009C7EEA"/>
    <w:rsid w:val="009D11EB"/>
    <w:rsid w:val="009D198E"/>
    <w:rsid w:val="009D1C55"/>
    <w:rsid w:val="009D5890"/>
    <w:rsid w:val="009D735E"/>
    <w:rsid w:val="009D7787"/>
    <w:rsid w:val="009D78CB"/>
    <w:rsid w:val="009E01DB"/>
    <w:rsid w:val="009E1D1B"/>
    <w:rsid w:val="009E2258"/>
    <w:rsid w:val="009E6B77"/>
    <w:rsid w:val="009F1C5C"/>
    <w:rsid w:val="009F1C78"/>
    <w:rsid w:val="009F2812"/>
    <w:rsid w:val="009F2951"/>
    <w:rsid w:val="009F3129"/>
    <w:rsid w:val="009F4FC6"/>
    <w:rsid w:val="00A009EA"/>
    <w:rsid w:val="00A01402"/>
    <w:rsid w:val="00A02120"/>
    <w:rsid w:val="00A0383D"/>
    <w:rsid w:val="00A03E46"/>
    <w:rsid w:val="00A04B41"/>
    <w:rsid w:val="00A05A0C"/>
    <w:rsid w:val="00A05E83"/>
    <w:rsid w:val="00A072A0"/>
    <w:rsid w:val="00A1034D"/>
    <w:rsid w:val="00A13802"/>
    <w:rsid w:val="00A13920"/>
    <w:rsid w:val="00A13FE8"/>
    <w:rsid w:val="00A1557B"/>
    <w:rsid w:val="00A15F0D"/>
    <w:rsid w:val="00A16C1C"/>
    <w:rsid w:val="00A170E7"/>
    <w:rsid w:val="00A179FF"/>
    <w:rsid w:val="00A20DC8"/>
    <w:rsid w:val="00A22985"/>
    <w:rsid w:val="00A229D3"/>
    <w:rsid w:val="00A265A7"/>
    <w:rsid w:val="00A27182"/>
    <w:rsid w:val="00A27798"/>
    <w:rsid w:val="00A31E13"/>
    <w:rsid w:val="00A3203E"/>
    <w:rsid w:val="00A32503"/>
    <w:rsid w:val="00A35D14"/>
    <w:rsid w:val="00A365D3"/>
    <w:rsid w:val="00A3674F"/>
    <w:rsid w:val="00A36AD5"/>
    <w:rsid w:val="00A3746E"/>
    <w:rsid w:val="00A37539"/>
    <w:rsid w:val="00A40788"/>
    <w:rsid w:val="00A40C8C"/>
    <w:rsid w:val="00A421F9"/>
    <w:rsid w:val="00A422F8"/>
    <w:rsid w:val="00A43661"/>
    <w:rsid w:val="00A44876"/>
    <w:rsid w:val="00A44A1B"/>
    <w:rsid w:val="00A45EB3"/>
    <w:rsid w:val="00A461C0"/>
    <w:rsid w:val="00A4629B"/>
    <w:rsid w:val="00A46517"/>
    <w:rsid w:val="00A46C81"/>
    <w:rsid w:val="00A47840"/>
    <w:rsid w:val="00A47A12"/>
    <w:rsid w:val="00A47A39"/>
    <w:rsid w:val="00A47D9B"/>
    <w:rsid w:val="00A50905"/>
    <w:rsid w:val="00A51336"/>
    <w:rsid w:val="00A5161A"/>
    <w:rsid w:val="00A5165E"/>
    <w:rsid w:val="00A53492"/>
    <w:rsid w:val="00A60191"/>
    <w:rsid w:val="00A605DB"/>
    <w:rsid w:val="00A60AAA"/>
    <w:rsid w:val="00A62939"/>
    <w:rsid w:val="00A63E62"/>
    <w:rsid w:val="00A645F3"/>
    <w:rsid w:val="00A6552F"/>
    <w:rsid w:val="00A679D4"/>
    <w:rsid w:val="00A67DAD"/>
    <w:rsid w:val="00A67DB6"/>
    <w:rsid w:val="00A70A21"/>
    <w:rsid w:val="00A70A57"/>
    <w:rsid w:val="00A72C99"/>
    <w:rsid w:val="00A73265"/>
    <w:rsid w:val="00A734BE"/>
    <w:rsid w:val="00A7353A"/>
    <w:rsid w:val="00A75705"/>
    <w:rsid w:val="00A7633D"/>
    <w:rsid w:val="00A77E4C"/>
    <w:rsid w:val="00A80706"/>
    <w:rsid w:val="00A81139"/>
    <w:rsid w:val="00A81271"/>
    <w:rsid w:val="00A81710"/>
    <w:rsid w:val="00A81E55"/>
    <w:rsid w:val="00A821CA"/>
    <w:rsid w:val="00A827F3"/>
    <w:rsid w:val="00A847AA"/>
    <w:rsid w:val="00A852B6"/>
    <w:rsid w:val="00A8588C"/>
    <w:rsid w:val="00A87300"/>
    <w:rsid w:val="00A87996"/>
    <w:rsid w:val="00A90EBE"/>
    <w:rsid w:val="00A91503"/>
    <w:rsid w:val="00A94AC9"/>
    <w:rsid w:val="00A959D9"/>
    <w:rsid w:val="00A96A57"/>
    <w:rsid w:val="00A96B2F"/>
    <w:rsid w:val="00A96B54"/>
    <w:rsid w:val="00A96F31"/>
    <w:rsid w:val="00A97DF0"/>
    <w:rsid w:val="00AA056E"/>
    <w:rsid w:val="00AA19CB"/>
    <w:rsid w:val="00AA2E39"/>
    <w:rsid w:val="00AA52C8"/>
    <w:rsid w:val="00AA56F3"/>
    <w:rsid w:val="00AA719B"/>
    <w:rsid w:val="00AB1A72"/>
    <w:rsid w:val="00AB26BF"/>
    <w:rsid w:val="00AB285D"/>
    <w:rsid w:val="00AB5783"/>
    <w:rsid w:val="00AB58F5"/>
    <w:rsid w:val="00AB5CDE"/>
    <w:rsid w:val="00AB5E7F"/>
    <w:rsid w:val="00AB5F62"/>
    <w:rsid w:val="00AB713A"/>
    <w:rsid w:val="00AC0581"/>
    <w:rsid w:val="00AC118E"/>
    <w:rsid w:val="00AC1840"/>
    <w:rsid w:val="00AC4073"/>
    <w:rsid w:val="00AC41BC"/>
    <w:rsid w:val="00AC4200"/>
    <w:rsid w:val="00AC5130"/>
    <w:rsid w:val="00AC601E"/>
    <w:rsid w:val="00AC68AA"/>
    <w:rsid w:val="00AC6F70"/>
    <w:rsid w:val="00AC7B41"/>
    <w:rsid w:val="00AC7DA6"/>
    <w:rsid w:val="00AD0009"/>
    <w:rsid w:val="00AD0639"/>
    <w:rsid w:val="00AD095C"/>
    <w:rsid w:val="00AD1309"/>
    <w:rsid w:val="00AD198F"/>
    <w:rsid w:val="00AD2103"/>
    <w:rsid w:val="00AD4906"/>
    <w:rsid w:val="00AD50DF"/>
    <w:rsid w:val="00AD5D3D"/>
    <w:rsid w:val="00AD6A73"/>
    <w:rsid w:val="00AD6D92"/>
    <w:rsid w:val="00AE0168"/>
    <w:rsid w:val="00AE0214"/>
    <w:rsid w:val="00AE1BB0"/>
    <w:rsid w:val="00AE4CE7"/>
    <w:rsid w:val="00AE5BB6"/>
    <w:rsid w:val="00AE6826"/>
    <w:rsid w:val="00AE6CB0"/>
    <w:rsid w:val="00AE6FB6"/>
    <w:rsid w:val="00AE737B"/>
    <w:rsid w:val="00AE75CB"/>
    <w:rsid w:val="00AE7ABE"/>
    <w:rsid w:val="00AE7B98"/>
    <w:rsid w:val="00AF12AC"/>
    <w:rsid w:val="00AF394F"/>
    <w:rsid w:val="00AF4C92"/>
    <w:rsid w:val="00AF4CC2"/>
    <w:rsid w:val="00AF4DF2"/>
    <w:rsid w:val="00AF4F32"/>
    <w:rsid w:val="00AF564B"/>
    <w:rsid w:val="00AF61C8"/>
    <w:rsid w:val="00AF739C"/>
    <w:rsid w:val="00AF7CD0"/>
    <w:rsid w:val="00B00050"/>
    <w:rsid w:val="00B00553"/>
    <w:rsid w:val="00B00776"/>
    <w:rsid w:val="00B01875"/>
    <w:rsid w:val="00B02755"/>
    <w:rsid w:val="00B02DF3"/>
    <w:rsid w:val="00B03279"/>
    <w:rsid w:val="00B05262"/>
    <w:rsid w:val="00B06C34"/>
    <w:rsid w:val="00B113D0"/>
    <w:rsid w:val="00B1191F"/>
    <w:rsid w:val="00B12705"/>
    <w:rsid w:val="00B133F9"/>
    <w:rsid w:val="00B148C0"/>
    <w:rsid w:val="00B16C98"/>
    <w:rsid w:val="00B17FE7"/>
    <w:rsid w:val="00B2021C"/>
    <w:rsid w:val="00B2061C"/>
    <w:rsid w:val="00B207ED"/>
    <w:rsid w:val="00B21223"/>
    <w:rsid w:val="00B21F46"/>
    <w:rsid w:val="00B222B9"/>
    <w:rsid w:val="00B22BA3"/>
    <w:rsid w:val="00B23F1F"/>
    <w:rsid w:val="00B23F30"/>
    <w:rsid w:val="00B24F55"/>
    <w:rsid w:val="00B25E7A"/>
    <w:rsid w:val="00B260CC"/>
    <w:rsid w:val="00B2622D"/>
    <w:rsid w:val="00B26D70"/>
    <w:rsid w:val="00B27758"/>
    <w:rsid w:val="00B27A5A"/>
    <w:rsid w:val="00B27D00"/>
    <w:rsid w:val="00B303EA"/>
    <w:rsid w:val="00B30E7E"/>
    <w:rsid w:val="00B31D99"/>
    <w:rsid w:val="00B31DBF"/>
    <w:rsid w:val="00B3225D"/>
    <w:rsid w:val="00B33625"/>
    <w:rsid w:val="00B351D1"/>
    <w:rsid w:val="00B35899"/>
    <w:rsid w:val="00B35F88"/>
    <w:rsid w:val="00B360D0"/>
    <w:rsid w:val="00B36652"/>
    <w:rsid w:val="00B36B70"/>
    <w:rsid w:val="00B36B9C"/>
    <w:rsid w:val="00B37115"/>
    <w:rsid w:val="00B4003E"/>
    <w:rsid w:val="00B427F8"/>
    <w:rsid w:val="00B43520"/>
    <w:rsid w:val="00B464CE"/>
    <w:rsid w:val="00B47F59"/>
    <w:rsid w:val="00B50496"/>
    <w:rsid w:val="00B52782"/>
    <w:rsid w:val="00B52E3D"/>
    <w:rsid w:val="00B562C6"/>
    <w:rsid w:val="00B57E2B"/>
    <w:rsid w:val="00B619ED"/>
    <w:rsid w:val="00B61F1A"/>
    <w:rsid w:val="00B64B62"/>
    <w:rsid w:val="00B6557C"/>
    <w:rsid w:val="00B65DBD"/>
    <w:rsid w:val="00B65E96"/>
    <w:rsid w:val="00B666BF"/>
    <w:rsid w:val="00B67067"/>
    <w:rsid w:val="00B6710E"/>
    <w:rsid w:val="00B7026A"/>
    <w:rsid w:val="00B7041D"/>
    <w:rsid w:val="00B733D3"/>
    <w:rsid w:val="00B760CB"/>
    <w:rsid w:val="00B770E6"/>
    <w:rsid w:val="00B806D9"/>
    <w:rsid w:val="00B81083"/>
    <w:rsid w:val="00B81A29"/>
    <w:rsid w:val="00B83CA6"/>
    <w:rsid w:val="00B85EBD"/>
    <w:rsid w:val="00B872C4"/>
    <w:rsid w:val="00B87DB6"/>
    <w:rsid w:val="00B93FDD"/>
    <w:rsid w:val="00B94072"/>
    <w:rsid w:val="00BA169E"/>
    <w:rsid w:val="00BA2750"/>
    <w:rsid w:val="00BA3253"/>
    <w:rsid w:val="00BA39A0"/>
    <w:rsid w:val="00BA584A"/>
    <w:rsid w:val="00BA6BA0"/>
    <w:rsid w:val="00BB079B"/>
    <w:rsid w:val="00BB117D"/>
    <w:rsid w:val="00BB2692"/>
    <w:rsid w:val="00BB27C0"/>
    <w:rsid w:val="00BB3D66"/>
    <w:rsid w:val="00BB4A4A"/>
    <w:rsid w:val="00BB5F85"/>
    <w:rsid w:val="00BB6E98"/>
    <w:rsid w:val="00BB7649"/>
    <w:rsid w:val="00BC1BF5"/>
    <w:rsid w:val="00BC1E09"/>
    <w:rsid w:val="00BC2A78"/>
    <w:rsid w:val="00BC2CD4"/>
    <w:rsid w:val="00BC53DE"/>
    <w:rsid w:val="00BC5F20"/>
    <w:rsid w:val="00BC6363"/>
    <w:rsid w:val="00BD0327"/>
    <w:rsid w:val="00BD0FCE"/>
    <w:rsid w:val="00BD1B0C"/>
    <w:rsid w:val="00BD1EAD"/>
    <w:rsid w:val="00BD29AF"/>
    <w:rsid w:val="00BD3E79"/>
    <w:rsid w:val="00BD46A9"/>
    <w:rsid w:val="00BD6382"/>
    <w:rsid w:val="00BD6B7A"/>
    <w:rsid w:val="00BE29A6"/>
    <w:rsid w:val="00BE332A"/>
    <w:rsid w:val="00BE3707"/>
    <w:rsid w:val="00BE38D0"/>
    <w:rsid w:val="00BE4BCB"/>
    <w:rsid w:val="00BE4DAB"/>
    <w:rsid w:val="00BE5FBE"/>
    <w:rsid w:val="00BE79F2"/>
    <w:rsid w:val="00BE7AEE"/>
    <w:rsid w:val="00BE7CFF"/>
    <w:rsid w:val="00BF0CE1"/>
    <w:rsid w:val="00BF1EB3"/>
    <w:rsid w:val="00BF2298"/>
    <w:rsid w:val="00BF2E13"/>
    <w:rsid w:val="00BF4BCB"/>
    <w:rsid w:val="00BF6380"/>
    <w:rsid w:val="00C0193C"/>
    <w:rsid w:val="00C030B3"/>
    <w:rsid w:val="00C06287"/>
    <w:rsid w:val="00C063D1"/>
    <w:rsid w:val="00C06F6F"/>
    <w:rsid w:val="00C07C51"/>
    <w:rsid w:val="00C1047C"/>
    <w:rsid w:val="00C11AED"/>
    <w:rsid w:val="00C12EDF"/>
    <w:rsid w:val="00C14BDB"/>
    <w:rsid w:val="00C14EC2"/>
    <w:rsid w:val="00C20B4D"/>
    <w:rsid w:val="00C21A8C"/>
    <w:rsid w:val="00C21BA0"/>
    <w:rsid w:val="00C274B1"/>
    <w:rsid w:val="00C27FCA"/>
    <w:rsid w:val="00C30417"/>
    <w:rsid w:val="00C32031"/>
    <w:rsid w:val="00C32B0F"/>
    <w:rsid w:val="00C33571"/>
    <w:rsid w:val="00C34B8F"/>
    <w:rsid w:val="00C34E96"/>
    <w:rsid w:val="00C34F12"/>
    <w:rsid w:val="00C35A5A"/>
    <w:rsid w:val="00C35D87"/>
    <w:rsid w:val="00C36B3A"/>
    <w:rsid w:val="00C40405"/>
    <w:rsid w:val="00C411D9"/>
    <w:rsid w:val="00C41320"/>
    <w:rsid w:val="00C447A7"/>
    <w:rsid w:val="00C44E7A"/>
    <w:rsid w:val="00C4729C"/>
    <w:rsid w:val="00C47AF3"/>
    <w:rsid w:val="00C50142"/>
    <w:rsid w:val="00C5017D"/>
    <w:rsid w:val="00C51815"/>
    <w:rsid w:val="00C51964"/>
    <w:rsid w:val="00C52428"/>
    <w:rsid w:val="00C52AC5"/>
    <w:rsid w:val="00C52E1A"/>
    <w:rsid w:val="00C5333B"/>
    <w:rsid w:val="00C556C6"/>
    <w:rsid w:val="00C55A8D"/>
    <w:rsid w:val="00C567E3"/>
    <w:rsid w:val="00C57559"/>
    <w:rsid w:val="00C60E6A"/>
    <w:rsid w:val="00C6115A"/>
    <w:rsid w:val="00C618BB"/>
    <w:rsid w:val="00C62B4F"/>
    <w:rsid w:val="00C63EC1"/>
    <w:rsid w:val="00C6431D"/>
    <w:rsid w:val="00C6484A"/>
    <w:rsid w:val="00C64921"/>
    <w:rsid w:val="00C70FD5"/>
    <w:rsid w:val="00C713EF"/>
    <w:rsid w:val="00C724F4"/>
    <w:rsid w:val="00C72684"/>
    <w:rsid w:val="00C72C67"/>
    <w:rsid w:val="00C7420C"/>
    <w:rsid w:val="00C74C11"/>
    <w:rsid w:val="00C74EFA"/>
    <w:rsid w:val="00C761D3"/>
    <w:rsid w:val="00C77005"/>
    <w:rsid w:val="00C814A4"/>
    <w:rsid w:val="00C816E4"/>
    <w:rsid w:val="00C82CC2"/>
    <w:rsid w:val="00C8524F"/>
    <w:rsid w:val="00C865ED"/>
    <w:rsid w:val="00C901A7"/>
    <w:rsid w:val="00C91A87"/>
    <w:rsid w:val="00C92453"/>
    <w:rsid w:val="00C925FE"/>
    <w:rsid w:val="00C92724"/>
    <w:rsid w:val="00C93739"/>
    <w:rsid w:val="00C93D91"/>
    <w:rsid w:val="00C93DB3"/>
    <w:rsid w:val="00C96DB4"/>
    <w:rsid w:val="00C973FF"/>
    <w:rsid w:val="00CA0440"/>
    <w:rsid w:val="00CA0A2F"/>
    <w:rsid w:val="00CA1498"/>
    <w:rsid w:val="00CA1DAD"/>
    <w:rsid w:val="00CA2957"/>
    <w:rsid w:val="00CA43B3"/>
    <w:rsid w:val="00CB0397"/>
    <w:rsid w:val="00CB162D"/>
    <w:rsid w:val="00CB1D66"/>
    <w:rsid w:val="00CB2921"/>
    <w:rsid w:val="00CB3933"/>
    <w:rsid w:val="00CB615D"/>
    <w:rsid w:val="00CC07CC"/>
    <w:rsid w:val="00CC1230"/>
    <w:rsid w:val="00CC2FA8"/>
    <w:rsid w:val="00CC33CE"/>
    <w:rsid w:val="00CC44D1"/>
    <w:rsid w:val="00CC517B"/>
    <w:rsid w:val="00CC5B61"/>
    <w:rsid w:val="00CC6B12"/>
    <w:rsid w:val="00CC7792"/>
    <w:rsid w:val="00CC7E71"/>
    <w:rsid w:val="00CD0971"/>
    <w:rsid w:val="00CD0BC0"/>
    <w:rsid w:val="00CD2D3D"/>
    <w:rsid w:val="00CD352E"/>
    <w:rsid w:val="00CD3A4F"/>
    <w:rsid w:val="00CD4225"/>
    <w:rsid w:val="00CD4582"/>
    <w:rsid w:val="00CD4EDF"/>
    <w:rsid w:val="00CD5B0F"/>
    <w:rsid w:val="00CD65AF"/>
    <w:rsid w:val="00CD74EB"/>
    <w:rsid w:val="00CD74ED"/>
    <w:rsid w:val="00CD78DB"/>
    <w:rsid w:val="00CD7A01"/>
    <w:rsid w:val="00CD7F1A"/>
    <w:rsid w:val="00CE00D4"/>
    <w:rsid w:val="00CE03C8"/>
    <w:rsid w:val="00CE05D3"/>
    <w:rsid w:val="00CE651D"/>
    <w:rsid w:val="00CE6A0D"/>
    <w:rsid w:val="00CE6DC3"/>
    <w:rsid w:val="00CF1A0A"/>
    <w:rsid w:val="00CF2465"/>
    <w:rsid w:val="00CF3447"/>
    <w:rsid w:val="00CF349C"/>
    <w:rsid w:val="00CF3FCE"/>
    <w:rsid w:val="00CF724A"/>
    <w:rsid w:val="00CF7E3A"/>
    <w:rsid w:val="00CF7F10"/>
    <w:rsid w:val="00D00556"/>
    <w:rsid w:val="00D0079F"/>
    <w:rsid w:val="00D01035"/>
    <w:rsid w:val="00D0154B"/>
    <w:rsid w:val="00D02676"/>
    <w:rsid w:val="00D031A3"/>
    <w:rsid w:val="00D04870"/>
    <w:rsid w:val="00D05019"/>
    <w:rsid w:val="00D06F32"/>
    <w:rsid w:val="00D07667"/>
    <w:rsid w:val="00D11C1E"/>
    <w:rsid w:val="00D12428"/>
    <w:rsid w:val="00D12F47"/>
    <w:rsid w:val="00D14F2E"/>
    <w:rsid w:val="00D17C3E"/>
    <w:rsid w:val="00D17E1D"/>
    <w:rsid w:val="00D20EBE"/>
    <w:rsid w:val="00D214FE"/>
    <w:rsid w:val="00D23151"/>
    <w:rsid w:val="00D234D6"/>
    <w:rsid w:val="00D25823"/>
    <w:rsid w:val="00D26B7B"/>
    <w:rsid w:val="00D26FF7"/>
    <w:rsid w:val="00D27FCB"/>
    <w:rsid w:val="00D304F8"/>
    <w:rsid w:val="00D30993"/>
    <w:rsid w:val="00D31360"/>
    <w:rsid w:val="00D31B0D"/>
    <w:rsid w:val="00D31BDA"/>
    <w:rsid w:val="00D32C6B"/>
    <w:rsid w:val="00D338B0"/>
    <w:rsid w:val="00D33A43"/>
    <w:rsid w:val="00D34398"/>
    <w:rsid w:val="00D34B28"/>
    <w:rsid w:val="00D34DD6"/>
    <w:rsid w:val="00D3522C"/>
    <w:rsid w:val="00D360BE"/>
    <w:rsid w:val="00D366B9"/>
    <w:rsid w:val="00D36E03"/>
    <w:rsid w:val="00D405EE"/>
    <w:rsid w:val="00D4105D"/>
    <w:rsid w:val="00D41348"/>
    <w:rsid w:val="00D42033"/>
    <w:rsid w:val="00D4300A"/>
    <w:rsid w:val="00D44D55"/>
    <w:rsid w:val="00D455E9"/>
    <w:rsid w:val="00D458A3"/>
    <w:rsid w:val="00D5148E"/>
    <w:rsid w:val="00D51B1C"/>
    <w:rsid w:val="00D525CC"/>
    <w:rsid w:val="00D533C7"/>
    <w:rsid w:val="00D53596"/>
    <w:rsid w:val="00D54457"/>
    <w:rsid w:val="00D56023"/>
    <w:rsid w:val="00D560D0"/>
    <w:rsid w:val="00D56A2F"/>
    <w:rsid w:val="00D602AB"/>
    <w:rsid w:val="00D61425"/>
    <w:rsid w:val="00D61ADB"/>
    <w:rsid w:val="00D62105"/>
    <w:rsid w:val="00D62B5A"/>
    <w:rsid w:val="00D64248"/>
    <w:rsid w:val="00D6439B"/>
    <w:rsid w:val="00D64B9E"/>
    <w:rsid w:val="00D65C02"/>
    <w:rsid w:val="00D663EF"/>
    <w:rsid w:val="00D66733"/>
    <w:rsid w:val="00D66BE3"/>
    <w:rsid w:val="00D671F3"/>
    <w:rsid w:val="00D70179"/>
    <w:rsid w:val="00D71772"/>
    <w:rsid w:val="00D721B0"/>
    <w:rsid w:val="00D77AEB"/>
    <w:rsid w:val="00D80945"/>
    <w:rsid w:val="00D82024"/>
    <w:rsid w:val="00D83C4D"/>
    <w:rsid w:val="00D879F2"/>
    <w:rsid w:val="00D87C47"/>
    <w:rsid w:val="00D92A05"/>
    <w:rsid w:val="00D93B14"/>
    <w:rsid w:val="00D93EFD"/>
    <w:rsid w:val="00D946CE"/>
    <w:rsid w:val="00D95A48"/>
    <w:rsid w:val="00D96589"/>
    <w:rsid w:val="00DA029F"/>
    <w:rsid w:val="00DA0C92"/>
    <w:rsid w:val="00DA24DA"/>
    <w:rsid w:val="00DA2DF8"/>
    <w:rsid w:val="00DA3412"/>
    <w:rsid w:val="00DA36E7"/>
    <w:rsid w:val="00DA531E"/>
    <w:rsid w:val="00DA53F6"/>
    <w:rsid w:val="00DA7322"/>
    <w:rsid w:val="00DA76C8"/>
    <w:rsid w:val="00DB1F65"/>
    <w:rsid w:val="00DB2F54"/>
    <w:rsid w:val="00DB3183"/>
    <w:rsid w:val="00DB3285"/>
    <w:rsid w:val="00DB329E"/>
    <w:rsid w:val="00DB4C15"/>
    <w:rsid w:val="00DB51C0"/>
    <w:rsid w:val="00DB52DC"/>
    <w:rsid w:val="00DB5309"/>
    <w:rsid w:val="00DB574E"/>
    <w:rsid w:val="00DB579F"/>
    <w:rsid w:val="00DB5E4C"/>
    <w:rsid w:val="00DC1CC1"/>
    <w:rsid w:val="00DC1F7D"/>
    <w:rsid w:val="00DC235F"/>
    <w:rsid w:val="00DC3738"/>
    <w:rsid w:val="00DC500F"/>
    <w:rsid w:val="00DC6559"/>
    <w:rsid w:val="00DC74D3"/>
    <w:rsid w:val="00DC7553"/>
    <w:rsid w:val="00DC7B68"/>
    <w:rsid w:val="00DD00A6"/>
    <w:rsid w:val="00DD0443"/>
    <w:rsid w:val="00DD0765"/>
    <w:rsid w:val="00DD117D"/>
    <w:rsid w:val="00DD1193"/>
    <w:rsid w:val="00DD2151"/>
    <w:rsid w:val="00DD3607"/>
    <w:rsid w:val="00DD569F"/>
    <w:rsid w:val="00DD5DB0"/>
    <w:rsid w:val="00DD6679"/>
    <w:rsid w:val="00DD6CCE"/>
    <w:rsid w:val="00DE27AD"/>
    <w:rsid w:val="00DE2F71"/>
    <w:rsid w:val="00DE3A0B"/>
    <w:rsid w:val="00DE48BE"/>
    <w:rsid w:val="00DE4A19"/>
    <w:rsid w:val="00DE4E4E"/>
    <w:rsid w:val="00DE522B"/>
    <w:rsid w:val="00DE61E0"/>
    <w:rsid w:val="00DE6D46"/>
    <w:rsid w:val="00DE7786"/>
    <w:rsid w:val="00DF026B"/>
    <w:rsid w:val="00DF0F95"/>
    <w:rsid w:val="00DF12C0"/>
    <w:rsid w:val="00DF1544"/>
    <w:rsid w:val="00DF2D1F"/>
    <w:rsid w:val="00DF62C9"/>
    <w:rsid w:val="00DF6809"/>
    <w:rsid w:val="00DF6AF7"/>
    <w:rsid w:val="00DF6C72"/>
    <w:rsid w:val="00DF7CDD"/>
    <w:rsid w:val="00E00A93"/>
    <w:rsid w:val="00E00D3B"/>
    <w:rsid w:val="00E01045"/>
    <w:rsid w:val="00E0187B"/>
    <w:rsid w:val="00E03D9E"/>
    <w:rsid w:val="00E03DFA"/>
    <w:rsid w:val="00E07579"/>
    <w:rsid w:val="00E0771B"/>
    <w:rsid w:val="00E07FF3"/>
    <w:rsid w:val="00E10D90"/>
    <w:rsid w:val="00E14421"/>
    <w:rsid w:val="00E15B4E"/>
    <w:rsid w:val="00E16DF9"/>
    <w:rsid w:val="00E203B6"/>
    <w:rsid w:val="00E2103E"/>
    <w:rsid w:val="00E21602"/>
    <w:rsid w:val="00E21DED"/>
    <w:rsid w:val="00E2256C"/>
    <w:rsid w:val="00E2260B"/>
    <w:rsid w:val="00E2434C"/>
    <w:rsid w:val="00E24D43"/>
    <w:rsid w:val="00E258A4"/>
    <w:rsid w:val="00E26EF2"/>
    <w:rsid w:val="00E272EB"/>
    <w:rsid w:val="00E276C7"/>
    <w:rsid w:val="00E27C29"/>
    <w:rsid w:val="00E30461"/>
    <w:rsid w:val="00E31C64"/>
    <w:rsid w:val="00E3282F"/>
    <w:rsid w:val="00E33897"/>
    <w:rsid w:val="00E352D3"/>
    <w:rsid w:val="00E35D85"/>
    <w:rsid w:val="00E360EB"/>
    <w:rsid w:val="00E378A9"/>
    <w:rsid w:val="00E4213C"/>
    <w:rsid w:val="00E438A3"/>
    <w:rsid w:val="00E440E4"/>
    <w:rsid w:val="00E45B40"/>
    <w:rsid w:val="00E46454"/>
    <w:rsid w:val="00E47B1B"/>
    <w:rsid w:val="00E50533"/>
    <w:rsid w:val="00E50887"/>
    <w:rsid w:val="00E50BA7"/>
    <w:rsid w:val="00E5388E"/>
    <w:rsid w:val="00E5446B"/>
    <w:rsid w:val="00E55095"/>
    <w:rsid w:val="00E558C2"/>
    <w:rsid w:val="00E56687"/>
    <w:rsid w:val="00E57D0E"/>
    <w:rsid w:val="00E57D72"/>
    <w:rsid w:val="00E60750"/>
    <w:rsid w:val="00E6237A"/>
    <w:rsid w:val="00E63171"/>
    <w:rsid w:val="00E63935"/>
    <w:rsid w:val="00E6404D"/>
    <w:rsid w:val="00E64308"/>
    <w:rsid w:val="00E65F8B"/>
    <w:rsid w:val="00E6602B"/>
    <w:rsid w:val="00E66EE4"/>
    <w:rsid w:val="00E67FF0"/>
    <w:rsid w:val="00E708D5"/>
    <w:rsid w:val="00E7094D"/>
    <w:rsid w:val="00E70F4E"/>
    <w:rsid w:val="00E72239"/>
    <w:rsid w:val="00E727EC"/>
    <w:rsid w:val="00E74658"/>
    <w:rsid w:val="00E74675"/>
    <w:rsid w:val="00E75ABE"/>
    <w:rsid w:val="00E7683D"/>
    <w:rsid w:val="00E77B8F"/>
    <w:rsid w:val="00E8161D"/>
    <w:rsid w:val="00E82511"/>
    <w:rsid w:val="00E83439"/>
    <w:rsid w:val="00E84AFE"/>
    <w:rsid w:val="00E84C58"/>
    <w:rsid w:val="00E851A4"/>
    <w:rsid w:val="00E851C5"/>
    <w:rsid w:val="00E851DD"/>
    <w:rsid w:val="00E85F8A"/>
    <w:rsid w:val="00E865EC"/>
    <w:rsid w:val="00E8736A"/>
    <w:rsid w:val="00E8799B"/>
    <w:rsid w:val="00E93307"/>
    <w:rsid w:val="00E94FDB"/>
    <w:rsid w:val="00E952DF"/>
    <w:rsid w:val="00E97013"/>
    <w:rsid w:val="00E97099"/>
    <w:rsid w:val="00E973F9"/>
    <w:rsid w:val="00EA07E9"/>
    <w:rsid w:val="00EA18DA"/>
    <w:rsid w:val="00EA1DEE"/>
    <w:rsid w:val="00EA4151"/>
    <w:rsid w:val="00EA4E71"/>
    <w:rsid w:val="00EB056B"/>
    <w:rsid w:val="00EB1F60"/>
    <w:rsid w:val="00EB3420"/>
    <w:rsid w:val="00EB34D8"/>
    <w:rsid w:val="00EB4469"/>
    <w:rsid w:val="00EB51FB"/>
    <w:rsid w:val="00EB5765"/>
    <w:rsid w:val="00EB5E03"/>
    <w:rsid w:val="00EB701D"/>
    <w:rsid w:val="00EC2593"/>
    <w:rsid w:val="00EC4192"/>
    <w:rsid w:val="00EC4B3B"/>
    <w:rsid w:val="00EC4B95"/>
    <w:rsid w:val="00EC6272"/>
    <w:rsid w:val="00EC6C4A"/>
    <w:rsid w:val="00EC7220"/>
    <w:rsid w:val="00ED0521"/>
    <w:rsid w:val="00ED0809"/>
    <w:rsid w:val="00ED2C43"/>
    <w:rsid w:val="00ED3611"/>
    <w:rsid w:val="00ED6513"/>
    <w:rsid w:val="00ED66AB"/>
    <w:rsid w:val="00ED6B30"/>
    <w:rsid w:val="00ED7511"/>
    <w:rsid w:val="00EE5246"/>
    <w:rsid w:val="00EE52DD"/>
    <w:rsid w:val="00EE5F67"/>
    <w:rsid w:val="00EE697D"/>
    <w:rsid w:val="00EE7436"/>
    <w:rsid w:val="00EE7E3B"/>
    <w:rsid w:val="00EF1056"/>
    <w:rsid w:val="00EF1193"/>
    <w:rsid w:val="00EF11D4"/>
    <w:rsid w:val="00EF16B0"/>
    <w:rsid w:val="00EF33B7"/>
    <w:rsid w:val="00EF4BC1"/>
    <w:rsid w:val="00EF5EE4"/>
    <w:rsid w:val="00EF726C"/>
    <w:rsid w:val="00EF7861"/>
    <w:rsid w:val="00F004D3"/>
    <w:rsid w:val="00F01956"/>
    <w:rsid w:val="00F03390"/>
    <w:rsid w:val="00F047E8"/>
    <w:rsid w:val="00F04F11"/>
    <w:rsid w:val="00F04F9D"/>
    <w:rsid w:val="00F057B7"/>
    <w:rsid w:val="00F10485"/>
    <w:rsid w:val="00F10D7B"/>
    <w:rsid w:val="00F11A81"/>
    <w:rsid w:val="00F11BBF"/>
    <w:rsid w:val="00F12DA2"/>
    <w:rsid w:val="00F1326A"/>
    <w:rsid w:val="00F141FA"/>
    <w:rsid w:val="00F14B2A"/>
    <w:rsid w:val="00F15B0E"/>
    <w:rsid w:val="00F165A3"/>
    <w:rsid w:val="00F16E78"/>
    <w:rsid w:val="00F17D52"/>
    <w:rsid w:val="00F20DD4"/>
    <w:rsid w:val="00F20E93"/>
    <w:rsid w:val="00F20FA6"/>
    <w:rsid w:val="00F22B71"/>
    <w:rsid w:val="00F23421"/>
    <w:rsid w:val="00F235D7"/>
    <w:rsid w:val="00F23DEE"/>
    <w:rsid w:val="00F250D2"/>
    <w:rsid w:val="00F2670A"/>
    <w:rsid w:val="00F309F5"/>
    <w:rsid w:val="00F32770"/>
    <w:rsid w:val="00F334F7"/>
    <w:rsid w:val="00F33BF4"/>
    <w:rsid w:val="00F36D70"/>
    <w:rsid w:val="00F413C4"/>
    <w:rsid w:val="00F41618"/>
    <w:rsid w:val="00F41FA4"/>
    <w:rsid w:val="00F41FF4"/>
    <w:rsid w:val="00F42508"/>
    <w:rsid w:val="00F4264A"/>
    <w:rsid w:val="00F43AC6"/>
    <w:rsid w:val="00F44224"/>
    <w:rsid w:val="00F4557D"/>
    <w:rsid w:val="00F45FAB"/>
    <w:rsid w:val="00F46E28"/>
    <w:rsid w:val="00F46F5B"/>
    <w:rsid w:val="00F47185"/>
    <w:rsid w:val="00F51805"/>
    <w:rsid w:val="00F51A5E"/>
    <w:rsid w:val="00F51F81"/>
    <w:rsid w:val="00F521E1"/>
    <w:rsid w:val="00F53330"/>
    <w:rsid w:val="00F543FB"/>
    <w:rsid w:val="00F5519A"/>
    <w:rsid w:val="00F5551E"/>
    <w:rsid w:val="00F57349"/>
    <w:rsid w:val="00F57E7A"/>
    <w:rsid w:val="00F60E42"/>
    <w:rsid w:val="00F60F47"/>
    <w:rsid w:val="00F625DA"/>
    <w:rsid w:val="00F63CD0"/>
    <w:rsid w:val="00F66CC1"/>
    <w:rsid w:val="00F7071F"/>
    <w:rsid w:val="00F7138B"/>
    <w:rsid w:val="00F71FCE"/>
    <w:rsid w:val="00F72137"/>
    <w:rsid w:val="00F7690B"/>
    <w:rsid w:val="00F775F6"/>
    <w:rsid w:val="00F77B2E"/>
    <w:rsid w:val="00F80B1B"/>
    <w:rsid w:val="00F815F7"/>
    <w:rsid w:val="00F81BB0"/>
    <w:rsid w:val="00F82149"/>
    <w:rsid w:val="00F849A9"/>
    <w:rsid w:val="00F8530B"/>
    <w:rsid w:val="00F857F5"/>
    <w:rsid w:val="00F85848"/>
    <w:rsid w:val="00F86640"/>
    <w:rsid w:val="00F9435A"/>
    <w:rsid w:val="00F94D42"/>
    <w:rsid w:val="00F94E00"/>
    <w:rsid w:val="00F95E7C"/>
    <w:rsid w:val="00F960DC"/>
    <w:rsid w:val="00F96E22"/>
    <w:rsid w:val="00F9702A"/>
    <w:rsid w:val="00F97DDC"/>
    <w:rsid w:val="00FA0000"/>
    <w:rsid w:val="00FA1B23"/>
    <w:rsid w:val="00FA46D8"/>
    <w:rsid w:val="00FA5D3F"/>
    <w:rsid w:val="00FA5FA2"/>
    <w:rsid w:val="00FA6117"/>
    <w:rsid w:val="00FB2E3D"/>
    <w:rsid w:val="00FB3565"/>
    <w:rsid w:val="00FC00A0"/>
    <w:rsid w:val="00FC021F"/>
    <w:rsid w:val="00FC0499"/>
    <w:rsid w:val="00FC0556"/>
    <w:rsid w:val="00FC1051"/>
    <w:rsid w:val="00FC18DE"/>
    <w:rsid w:val="00FC1E6B"/>
    <w:rsid w:val="00FC33C5"/>
    <w:rsid w:val="00FC3C6B"/>
    <w:rsid w:val="00FC3E41"/>
    <w:rsid w:val="00FC5BF6"/>
    <w:rsid w:val="00FC601B"/>
    <w:rsid w:val="00FC6BAE"/>
    <w:rsid w:val="00FD195B"/>
    <w:rsid w:val="00FD1A1E"/>
    <w:rsid w:val="00FD1CA0"/>
    <w:rsid w:val="00FD2EBD"/>
    <w:rsid w:val="00FD32DF"/>
    <w:rsid w:val="00FD39A9"/>
    <w:rsid w:val="00FD431F"/>
    <w:rsid w:val="00FD5256"/>
    <w:rsid w:val="00FD75F5"/>
    <w:rsid w:val="00FD780B"/>
    <w:rsid w:val="00FE1025"/>
    <w:rsid w:val="00FE16BE"/>
    <w:rsid w:val="00FE2858"/>
    <w:rsid w:val="00FE43FB"/>
    <w:rsid w:val="00FE6B83"/>
    <w:rsid w:val="00FE6C1C"/>
    <w:rsid w:val="00FE720F"/>
    <w:rsid w:val="00FF0254"/>
    <w:rsid w:val="00FF08B9"/>
    <w:rsid w:val="00FF0C85"/>
    <w:rsid w:val="00FF0F5F"/>
    <w:rsid w:val="00FF142D"/>
    <w:rsid w:val="00FF2054"/>
    <w:rsid w:val="00FF27B0"/>
    <w:rsid w:val="00FF3A3B"/>
    <w:rsid w:val="00FF7790"/>
    <w:rsid w:val="01954FB8"/>
    <w:rsid w:val="01FD63CC"/>
    <w:rsid w:val="041947D3"/>
    <w:rsid w:val="04DC5D07"/>
    <w:rsid w:val="04F25E16"/>
    <w:rsid w:val="08B80474"/>
    <w:rsid w:val="09323295"/>
    <w:rsid w:val="09C47253"/>
    <w:rsid w:val="0B272001"/>
    <w:rsid w:val="0C104B89"/>
    <w:rsid w:val="0F15190F"/>
    <w:rsid w:val="0FB62BFE"/>
    <w:rsid w:val="11070F08"/>
    <w:rsid w:val="11F951A4"/>
    <w:rsid w:val="12307423"/>
    <w:rsid w:val="15B648AC"/>
    <w:rsid w:val="1651784E"/>
    <w:rsid w:val="16AA3993"/>
    <w:rsid w:val="16DA07C4"/>
    <w:rsid w:val="186D15A1"/>
    <w:rsid w:val="1BCF4AA2"/>
    <w:rsid w:val="1CDB20E5"/>
    <w:rsid w:val="1D2D03CE"/>
    <w:rsid w:val="1DF646E0"/>
    <w:rsid w:val="1EE6343F"/>
    <w:rsid w:val="238E7041"/>
    <w:rsid w:val="240827DD"/>
    <w:rsid w:val="243E46AA"/>
    <w:rsid w:val="24CC4C3F"/>
    <w:rsid w:val="24FF3FBE"/>
    <w:rsid w:val="25045901"/>
    <w:rsid w:val="25AB5414"/>
    <w:rsid w:val="25EC6297"/>
    <w:rsid w:val="280808E0"/>
    <w:rsid w:val="28F30F97"/>
    <w:rsid w:val="29A72DE4"/>
    <w:rsid w:val="2A5C2853"/>
    <w:rsid w:val="2B4534C9"/>
    <w:rsid w:val="2BBC0B82"/>
    <w:rsid w:val="2C3A179D"/>
    <w:rsid w:val="2CAF110E"/>
    <w:rsid w:val="2D607001"/>
    <w:rsid w:val="2DA21BAF"/>
    <w:rsid w:val="2DAC6F3B"/>
    <w:rsid w:val="2E2B5ACD"/>
    <w:rsid w:val="2E86630D"/>
    <w:rsid w:val="2F6C46D2"/>
    <w:rsid w:val="2FD548A2"/>
    <w:rsid w:val="31B16017"/>
    <w:rsid w:val="32601632"/>
    <w:rsid w:val="33F629CD"/>
    <w:rsid w:val="34343131"/>
    <w:rsid w:val="351E0D37"/>
    <w:rsid w:val="371373DF"/>
    <w:rsid w:val="392C059A"/>
    <w:rsid w:val="3A684063"/>
    <w:rsid w:val="3AAB060F"/>
    <w:rsid w:val="3C5F3F2A"/>
    <w:rsid w:val="3EA6066F"/>
    <w:rsid w:val="404A63DD"/>
    <w:rsid w:val="407C02DC"/>
    <w:rsid w:val="420F6101"/>
    <w:rsid w:val="43FF50FB"/>
    <w:rsid w:val="44146F4B"/>
    <w:rsid w:val="442876C0"/>
    <w:rsid w:val="496C090B"/>
    <w:rsid w:val="4A046E52"/>
    <w:rsid w:val="4B087F2F"/>
    <w:rsid w:val="5063180A"/>
    <w:rsid w:val="506C4029"/>
    <w:rsid w:val="517A5C50"/>
    <w:rsid w:val="52050320"/>
    <w:rsid w:val="54267F9B"/>
    <w:rsid w:val="543C478A"/>
    <w:rsid w:val="55303CD0"/>
    <w:rsid w:val="56D71978"/>
    <w:rsid w:val="586E5BE2"/>
    <w:rsid w:val="590D163A"/>
    <w:rsid w:val="59E17FE9"/>
    <w:rsid w:val="5AB93B42"/>
    <w:rsid w:val="5C5C0F58"/>
    <w:rsid w:val="5C717B35"/>
    <w:rsid w:val="5C897652"/>
    <w:rsid w:val="5CFE2E4C"/>
    <w:rsid w:val="629020DA"/>
    <w:rsid w:val="646D076D"/>
    <w:rsid w:val="64C40776"/>
    <w:rsid w:val="65972823"/>
    <w:rsid w:val="66297490"/>
    <w:rsid w:val="68F9218F"/>
    <w:rsid w:val="69D57F09"/>
    <w:rsid w:val="6B94215F"/>
    <w:rsid w:val="6D233EC0"/>
    <w:rsid w:val="6F251978"/>
    <w:rsid w:val="6F4B1381"/>
    <w:rsid w:val="6F8723EA"/>
    <w:rsid w:val="70212FA1"/>
    <w:rsid w:val="705F3769"/>
    <w:rsid w:val="706E24EF"/>
    <w:rsid w:val="70B553AC"/>
    <w:rsid w:val="71A01B77"/>
    <w:rsid w:val="71A053FA"/>
    <w:rsid w:val="722238C6"/>
    <w:rsid w:val="72683C6A"/>
    <w:rsid w:val="738A616F"/>
    <w:rsid w:val="7488367E"/>
    <w:rsid w:val="74AA6C64"/>
    <w:rsid w:val="75B61E4D"/>
    <w:rsid w:val="77774237"/>
    <w:rsid w:val="789A0AEB"/>
    <w:rsid w:val="79D42916"/>
    <w:rsid w:val="7A1C0811"/>
    <w:rsid w:val="7B637155"/>
    <w:rsid w:val="7C267804"/>
    <w:rsid w:val="7C3B4E12"/>
    <w:rsid w:val="7EA121D3"/>
    <w:rsid w:val="7F241C0C"/>
    <w:rsid w:val="7FF64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2"/>
      <w:lang w:val="en-US" w:eastAsia="zh-CN" w:bidi="ar-SA"/>
    </w:rPr>
  </w:style>
  <w:style w:type="paragraph" w:styleId="3">
    <w:name w:val="heading 1"/>
    <w:basedOn w:val="1"/>
    <w:next w:val="1"/>
    <w:link w:val="321"/>
    <w:qFormat/>
    <w:uiPriority w:val="0"/>
    <w:pPr>
      <w:adjustRightInd w:val="0"/>
      <w:spacing w:before="600" w:after="360" w:line="720" w:lineRule="atLeast"/>
      <w:jc w:val="center"/>
      <w:textAlignment w:val="baseline"/>
      <w:outlineLvl w:val="0"/>
    </w:pPr>
    <w:rPr>
      <w:b/>
      <w:kern w:val="0"/>
      <w:sz w:val="28"/>
      <w:szCs w:val="20"/>
    </w:rPr>
  </w:style>
  <w:style w:type="paragraph" w:styleId="4">
    <w:name w:val="heading 2"/>
    <w:basedOn w:val="1"/>
    <w:next w:val="1"/>
    <w:link w:val="78"/>
    <w:qFormat/>
    <w:uiPriority w:val="0"/>
    <w:pPr>
      <w:adjustRightInd w:val="0"/>
      <w:spacing w:before="480" w:after="360" w:line="420" w:lineRule="atLeast"/>
      <w:jc w:val="center"/>
      <w:textAlignment w:val="baseline"/>
      <w:outlineLvl w:val="1"/>
    </w:pPr>
    <w:rPr>
      <w:rFonts w:ascii="黑体" w:eastAsia="黑体"/>
      <w:b/>
      <w:kern w:val="0"/>
      <w:szCs w:val="20"/>
    </w:rPr>
  </w:style>
  <w:style w:type="paragraph" w:styleId="5">
    <w:name w:val="heading 3"/>
    <w:basedOn w:val="1"/>
    <w:next w:val="1"/>
    <w:link w:val="361"/>
    <w:qFormat/>
    <w:uiPriority w:val="0"/>
    <w:pPr>
      <w:keepNext/>
      <w:keepLines/>
      <w:spacing w:before="260" w:after="260" w:line="416" w:lineRule="auto"/>
      <w:outlineLvl w:val="2"/>
    </w:pPr>
    <w:rPr>
      <w:b/>
      <w:bCs/>
      <w:sz w:val="32"/>
      <w:szCs w:val="32"/>
    </w:rPr>
  </w:style>
  <w:style w:type="paragraph" w:styleId="6">
    <w:name w:val="heading 4"/>
    <w:basedOn w:val="1"/>
    <w:next w:val="1"/>
    <w:link w:val="366"/>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2"/>
    <w:link w:val="310"/>
    <w:qFormat/>
    <w:uiPriority w:val="0"/>
    <w:pPr>
      <w:keepNext/>
      <w:tabs>
        <w:tab w:val="left" w:pos="1290"/>
      </w:tabs>
      <w:spacing w:line="360" w:lineRule="auto"/>
      <w:ind w:left="1293" w:hanging="720"/>
      <w:outlineLvl w:val="4"/>
    </w:pPr>
    <w:rPr>
      <w:sz w:val="28"/>
      <w:szCs w:val="20"/>
    </w:rPr>
  </w:style>
  <w:style w:type="paragraph" w:styleId="8">
    <w:name w:val="heading 6"/>
    <w:basedOn w:val="1"/>
    <w:next w:val="1"/>
    <w:link w:val="356"/>
    <w:qFormat/>
    <w:uiPriority w:val="0"/>
    <w:pPr>
      <w:keepNext/>
      <w:adjustRightInd w:val="0"/>
      <w:snapToGrid w:val="0"/>
      <w:spacing w:beforeLines="50" w:afterLines="50"/>
      <w:ind w:firstLine="560" w:firstLineChars="200"/>
      <w:outlineLvl w:val="5"/>
    </w:pPr>
    <w:rPr>
      <w:rFonts w:eastAsia="仿宋_GB2312"/>
      <w:color w:val="000000"/>
      <w:kern w:val="0"/>
      <w:sz w:val="28"/>
      <w:szCs w:val="20"/>
    </w:rPr>
  </w:style>
  <w:style w:type="paragraph" w:styleId="9">
    <w:name w:val="heading 7"/>
    <w:basedOn w:val="1"/>
    <w:next w:val="1"/>
    <w:link w:val="383"/>
    <w:qFormat/>
    <w:uiPriority w:val="0"/>
    <w:pPr>
      <w:keepNext/>
      <w:keepLines/>
      <w:widowControl/>
      <w:tabs>
        <w:tab w:val="left" w:pos="2520"/>
      </w:tabs>
      <w:spacing w:before="240" w:after="64" w:line="320" w:lineRule="auto"/>
      <w:ind w:left="1296" w:hanging="1296"/>
      <w:jc w:val="left"/>
      <w:outlineLvl w:val="6"/>
    </w:pPr>
    <w:rPr>
      <w:b/>
      <w:bCs/>
      <w:kern w:val="0"/>
      <w:szCs w:val="24"/>
    </w:rPr>
  </w:style>
  <w:style w:type="paragraph" w:styleId="10">
    <w:name w:val="heading 8"/>
    <w:basedOn w:val="1"/>
    <w:next w:val="1"/>
    <w:link w:val="3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Cs w:val="24"/>
    </w:rPr>
  </w:style>
  <w:style w:type="paragraph" w:styleId="11">
    <w:name w:val="heading 9"/>
    <w:basedOn w:val="1"/>
    <w:next w:val="1"/>
    <w:link w:val="359"/>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1"/>
    </w:rPr>
  </w:style>
  <w:style w:type="character" w:default="1" w:styleId="68">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420" w:lineRule="atLeast"/>
      <w:ind w:firstLine="420"/>
      <w:textAlignment w:val="baseline"/>
    </w:pPr>
    <w:rPr>
      <w:rFonts w:ascii="Times New Roman" w:hAnsi="Times New Roman"/>
      <w:kern w:val="0"/>
      <w:szCs w:val="20"/>
    </w:rPr>
  </w:style>
  <w:style w:type="paragraph" w:styleId="12">
    <w:name w:val="List 3"/>
    <w:basedOn w:val="1"/>
    <w:qFormat/>
    <w:uiPriority w:val="0"/>
    <w:pPr>
      <w:ind w:left="100" w:leftChars="400" w:hanging="200" w:hangingChars="200"/>
    </w:pPr>
    <w:rPr>
      <w:rFonts w:ascii="@宋体" w:hAnsi="@宋体" w:eastAsia="文鼎大标宋简" w:cs="@宋体"/>
      <w:szCs w:val="24"/>
    </w:rPr>
  </w:style>
  <w:style w:type="paragraph" w:styleId="13">
    <w:name w:val="toc 7"/>
    <w:basedOn w:val="1"/>
    <w:next w:val="1"/>
    <w:qFormat/>
    <w:uiPriority w:val="39"/>
    <w:pPr>
      <w:ind w:left="1260"/>
      <w:jc w:val="left"/>
    </w:pPr>
    <w:rPr>
      <w:rFonts w:ascii="Times New Roman" w:hAnsi="Times New Roman"/>
      <w:szCs w:val="21"/>
    </w:rPr>
  </w:style>
  <w:style w:type="paragraph" w:styleId="14">
    <w:name w:val="List Bullet 4"/>
    <w:basedOn w:val="1"/>
    <w:qFormat/>
    <w:uiPriority w:val="0"/>
    <w:pPr>
      <w:tabs>
        <w:tab w:val="left" w:pos="1620"/>
      </w:tabs>
      <w:ind w:left="1620" w:leftChars="600" w:hanging="360" w:hangingChars="200"/>
    </w:pPr>
    <w:rPr>
      <w:rFonts w:ascii="Times New Roman" w:hAnsi="Times New Roman"/>
      <w:szCs w:val="24"/>
    </w:rPr>
  </w:style>
  <w:style w:type="paragraph" w:styleId="15">
    <w:name w:val="index 8"/>
    <w:basedOn w:val="1"/>
    <w:next w:val="1"/>
    <w:qFormat/>
    <w:uiPriority w:val="0"/>
    <w:pPr>
      <w:ind w:left="1680" w:hanging="210"/>
      <w:jc w:val="left"/>
    </w:pPr>
    <w:rPr>
      <w:rFonts w:ascii="Times New Roman" w:hAnsi="Times New Roman"/>
      <w:sz w:val="20"/>
      <w:szCs w:val="20"/>
    </w:rPr>
  </w:style>
  <w:style w:type="paragraph" w:styleId="16">
    <w:name w:val="List Number"/>
    <w:basedOn w:val="1"/>
    <w:qFormat/>
    <w:uiPriority w:val="0"/>
    <w:pPr>
      <w:tabs>
        <w:tab w:val="left" w:pos="360"/>
      </w:tabs>
    </w:pPr>
    <w:rPr>
      <w:rFonts w:ascii="Times New Roman" w:hAnsi="Times New Roman"/>
      <w:szCs w:val="24"/>
    </w:rPr>
  </w:style>
  <w:style w:type="paragraph" w:styleId="17">
    <w:name w:val="caption"/>
    <w:basedOn w:val="1"/>
    <w:next w:val="1"/>
    <w:qFormat/>
    <w:uiPriority w:val="0"/>
    <w:rPr>
      <w:rFonts w:ascii="Arial" w:hAnsi="Arial" w:eastAsia="黑体" w:cs="Arial"/>
      <w:sz w:val="20"/>
      <w:szCs w:val="20"/>
    </w:rPr>
  </w:style>
  <w:style w:type="paragraph" w:styleId="18">
    <w:name w:val="index 5"/>
    <w:basedOn w:val="1"/>
    <w:next w:val="1"/>
    <w:qFormat/>
    <w:uiPriority w:val="0"/>
    <w:pPr>
      <w:ind w:left="1050" w:hanging="210"/>
      <w:jc w:val="left"/>
    </w:pPr>
    <w:rPr>
      <w:rFonts w:ascii="Times New Roman" w:hAnsi="Times New Roman"/>
      <w:sz w:val="20"/>
      <w:szCs w:val="20"/>
    </w:rPr>
  </w:style>
  <w:style w:type="paragraph" w:styleId="19">
    <w:name w:val="List Bullet"/>
    <w:basedOn w:val="1"/>
    <w:qFormat/>
    <w:uiPriority w:val="0"/>
    <w:pPr>
      <w:tabs>
        <w:tab w:val="left" w:pos="360"/>
      </w:tabs>
      <w:ind w:left="360" w:hanging="360" w:hangingChars="200"/>
    </w:pPr>
    <w:rPr>
      <w:rFonts w:ascii="Times New Roman" w:hAnsi="Times New Roman"/>
      <w:szCs w:val="24"/>
    </w:rPr>
  </w:style>
  <w:style w:type="paragraph" w:styleId="20">
    <w:name w:val="Document Map"/>
    <w:basedOn w:val="1"/>
    <w:link w:val="302"/>
    <w:semiHidden/>
    <w:qFormat/>
    <w:uiPriority w:val="0"/>
    <w:pPr>
      <w:shd w:val="clear" w:color="auto" w:fill="000080"/>
    </w:pPr>
  </w:style>
  <w:style w:type="paragraph" w:styleId="21">
    <w:name w:val="annotation text"/>
    <w:basedOn w:val="1"/>
    <w:link w:val="385"/>
    <w:semiHidden/>
    <w:qFormat/>
    <w:uiPriority w:val="0"/>
    <w:pPr>
      <w:jc w:val="left"/>
    </w:pPr>
    <w:rPr>
      <w:szCs w:val="24"/>
    </w:rPr>
  </w:style>
  <w:style w:type="paragraph" w:styleId="22">
    <w:name w:val="index 6"/>
    <w:basedOn w:val="1"/>
    <w:next w:val="1"/>
    <w:qFormat/>
    <w:uiPriority w:val="0"/>
    <w:pPr>
      <w:ind w:left="1260" w:hanging="210"/>
      <w:jc w:val="left"/>
    </w:pPr>
    <w:rPr>
      <w:rFonts w:ascii="Times New Roman" w:hAnsi="Times New Roman"/>
      <w:sz w:val="20"/>
      <w:szCs w:val="20"/>
    </w:rPr>
  </w:style>
  <w:style w:type="paragraph" w:styleId="23">
    <w:name w:val="Salutation"/>
    <w:basedOn w:val="1"/>
    <w:next w:val="1"/>
    <w:qFormat/>
    <w:uiPriority w:val="0"/>
    <w:rPr>
      <w:rFonts w:ascii="@宋体" w:hAnsi="@宋体" w:eastAsia="文鼎大标宋简"/>
      <w:sz w:val="28"/>
      <w:szCs w:val="28"/>
    </w:rPr>
  </w:style>
  <w:style w:type="paragraph" w:styleId="24">
    <w:name w:val="Body Text 3"/>
    <w:basedOn w:val="1"/>
    <w:link w:val="421"/>
    <w:qFormat/>
    <w:uiPriority w:val="0"/>
    <w:pPr>
      <w:spacing w:after="120"/>
    </w:pPr>
    <w:rPr>
      <w:sz w:val="16"/>
      <w:szCs w:val="16"/>
    </w:rPr>
  </w:style>
  <w:style w:type="paragraph" w:styleId="25">
    <w:name w:val="List Bullet 3"/>
    <w:basedOn w:val="1"/>
    <w:qFormat/>
    <w:uiPriority w:val="0"/>
    <w:pPr>
      <w:tabs>
        <w:tab w:val="left" w:pos="1200"/>
      </w:tabs>
      <w:ind w:left="1200" w:leftChars="400" w:hanging="360" w:hangingChars="200"/>
    </w:pPr>
    <w:rPr>
      <w:rFonts w:ascii="Times New Roman" w:hAnsi="Times New Roman"/>
      <w:szCs w:val="24"/>
    </w:rPr>
  </w:style>
  <w:style w:type="paragraph" w:styleId="26">
    <w:name w:val="Body Text"/>
    <w:basedOn w:val="1"/>
    <w:link w:val="403"/>
    <w:qFormat/>
    <w:uiPriority w:val="0"/>
    <w:pPr>
      <w:spacing w:before="240"/>
      <w:jc w:val="center"/>
    </w:pPr>
    <w:rPr>
      <w:rFonts w:eastAsia="黑体"/>
      <w:sz w:val="44"/>
      <w:szCs w:val="20"/>
    </w:rPr>
  </w:style>
  <w:style w:type="paragraph" w:styleId="27">
    <w:name w:val="Body Text Indent"/>
    <w:basedOn w:val="1"/>
    <w:link w:val="315"/>
    <w:qFormat/>
    <w:uiPriority w:val="0"/>
    <w:pPr>
      <w:ind w:firstLine="480"/>
    </w:pPr>
    <w:rPr>
      <w:szCs w:val="20"/>
    </w:rPr>
  </w:style>
  <w:style w:type="paragraph" w:styleId="28">
    <w:name w:val="List 2"/>
    <w:basedOn w:val="29"/>
    <w:qFormat/>
    <w:uiPriority w:val="0"/>
    <w:pPr>
      <w:spacing w:after="220" w:line="220" w:lineRule="atLeast"/>
      <w:ind w:left="1080" w:hanging="360" w:firstLineChars="0"/>
    </w:pPr>
  </w:style>
  <w:style w:type="paragraph" w:styleId="29">
    <w:name w:val="List"/>
    <w:basedOn w:val="1"/>
    <w:qFormat/>
    <w:uiPriority w:val="0"/>
    <w:pPr>
      <w:ind w:left="200" w:hanging="200" w:hangingChars="200"/>
    </w:pPr>
    <w:rPr>
      <w:rFonts w:ascii="Times New Roman" w:hAnsi="Times New Roman"/>
      <w:szCs w:val="20"/>
    </w:rPr>
  </w:style>
  <w:style w:type="paragraph" w:styleId="30">
    <w:name w:val="Block Text"/>
    <w:basedOn w:val="1"/>
    <w:qFormat/>
    <w:uiPriority w:val="0"/>
    <w:pPr>
      <w:ind w:left="-180" w:right="-154"/>
      <w:jc w:val="left"/>
    </w:pPr>
    <w:rPr>
      <w:rFonts w:ascii="宋体" w:hAnsi="Times New Roman"/>
      <w:szCs w:val="20"/>
    </w:rPr>
  </w:style>
  <w:style w:type="paragraph" w:styleId="31">
    <w:name w:val="List Bullet 2"/>
    <w:basedOn w:val="1"/>
    <w:qFormat/>
    <w:uiPriority w:val="0"/>
    <w:pPr>
      <w:tabs>
        <w:tab w:val="left" w:pos="780"/>
      </w:tabs>
      <w:ind w:left="780" w:leftChars="200" w:hanging="360" w:hangingChars="200"/>
    </w:pPr>
    <w:rPr>
      <w:rFonts w:ascii="Times New Roman" w:hAnsi="Times New Roman"/>
      <w:szCs w:val="24"/>
    </w:rPr>
  </w:style>
  <w:style w:type="paragraph" w:styleId="32">
    <w:name w:val="index 4"/>
    <w:basedOn w:val="1"/>
    <w:next w:val="1"/>
    <w:qFormat/>
    <w:uiPriority w:val="0"/>
    <w:pPr>
      <w:ind w:left="840" w:hanging="210"/>
      <w:jc w:val="left"/>
    </w:pPr>
    <w:rPr>
      <w:rFonts w:ascii="Times New Roman" w:hAnsi="Times New Roman"/>
      <w:sz w:val="20"/>
      <w:szCs w:val="20"/>
    </w:rPr>
  </w:style>
  <w:style w:type="paragraph" w:styleId="33">
    <w:name w:val="toc 5"/>
    <w:basedOn w:val="1"/>
    <w:next w:val="1"/>
    <w:qFormat/>
    <w:uiPriority w:val="39"/>
    <w:pPr>
      <w:ind w:left="840"/>
      <w:jc w:val="left"/>
    </w:pPr>
    <w:rPr>
      <w:rFonts w:ascii="Times New Roman" w:hAnsi="Times New Roman"/>
      <w:szCs w:val="21"/>
    </w:rPr>
  </w:style>
  <w:style w:type="paragraph" w:styleId="34">
    <w:name w:val="toc 3"/>
    <w:basedOn w:val="1"/>
    <w:next w:val="1"/>
    <w:qFormat/>
    <w:uiPriority w:val="39"/>
    <w:pPr>
      <w:ind w:left="840" w:leftChars="400"/>
    </w:pPr>
    <w:rPr>
      <w:rFonts w:ascii="Times New Roman" w:hAnsi="Times New Roman"/>
      <w:szCs w:val="24"/>
    </w:rPr>
  </w:style>
  <w:style w:type="paragraph" w:styleId="35">
    <w:name w:val="Plain Text"/>
    <w:basedOn w:val="1"/>
    <w:link w:val="317"/>
    <w:qFormat/>
    <w:uiPriority w:val="0"/>
    <w:rPr>
      <w:rFonts w:ascii="宋体" w:hAnsi="Courier New" w:cs="Courier New"/>
      <w:szCs w:val="21"/>
    </w:rPr>
  </w:style>
  <w:style w:type="paragraph" w:styleId="36">
    <w:name w:val="List Bullet 5"/>
    <w:basedOn w:val="1"/>
    <w:qFormat/>
    <w:uiPriority w:val="0"/>
    <w:pPr>
      <w:tabs>
        <w:tab w:val="left" w:pos="2040"/>
      </w:tabs>
      <w:ind w:left="2040" w:leftChars="800" w:hanging="360" w:hangingChars="200"/>
    </w:pPr>
    <w:rPr>
      <w:rFonts w:ascii="Times New Roman" w:hAnsi="Times New Roman"/>
      <w:szCs w:val="24"/>
    </w:rPr>
  </w:style>
  <w:style w:type="paragraph" w:styleId="37">
    <w:name w:val="toc 8"/>
    <w:basedOn w:val="1"/>
    <w:next w:val="1"/>
    <w:qFormat/>
    <w:uiPriority w:val="39"/>
    <w:pPr>
      <w:ind w:left="1470"/>
      <w:jc w:val="left"/>
    </w:pPr>
    <w:rPr>
      <w:rFonts w:ascii="Times New Roman" w:hAnsi="Times New Roman"/>
      <w:szCs w:val="21"/>
    </w:rPr>
  </w:style>
  <w:style w:type="paragraph" w:styleId="38">
    <w:name w:val="index 3"/>
    <w:basedOn w:val="1"/>
    <w:next w:val="1"/>
    <w:qFormat/>
    <w:uiPriority w:val="0"/>
    <w:pPr>
      <w:ind w:left="630" w:hanging="210"/>
      <w:jc w:val="left"/>
    </w:pPr>
    <w:rPr>
      <w:rFonts w:ascii="Times New Roman" w:hAnsi="Times New Roman"/>
      <w:sz w:val="20"/>
      <w:szCs w:val="20"/>
    </w:rPr>
  </w:style>
  <w:style w:type="paragraph" w:styleId="39">
    <w:name w:val="Date"/>
    <w:basedOn w:val="1"/>
    <w:next w:val="1"/>
    <w:link w:val="355"/>
    <w:qFormat/>
    <w:uiPriority w:val="0"/>
    <w:rPr>
      <w:szCs w:val="20"/>
    </w:rPr>
  </w:style>
  <w:style w:type="paragraph" w:styleId="40">
    <w:name w:val="Body Text Indent 2"/>
    <w:basedOn w:val="1"/>
    <w:qFormat/>
    <w:uiPriority w:val="0"/>
    <w:pPr>
      <w:shd w:val="pct10" w:color="auto" w:fill="FFFFFF"/>
      <w:adjustRightInd w:val="0"/>
      <w:spacing w:line="420" w:lineRule="atLeast"/>
      <w:ind w:firstLine="454"/>
      <w:textAlignment w:val="baseline"/>
    </w:pPr>
    <w:rPr>
      <w:rFonts w:ascii="Times New Roman" w:hAnsi="Times New Roman"/>
      <w:kern w:val="0"/>
      <w:szCs w:val="20"/>
    </w:rPr>
  </w:style>
  <w:style w:type="paragraph" w:styleId="41">
    <w:name w:val="endnote text"/>
    <w:basedOn w:val="1"/>
    <w:link w:val="332"/>
    <w:qFormat/>
    <w:uiPriority w:val="0"/>
    <w:pPr>
      <w:snapToGrid w:val="0"/>
      <w:jc w:val="left"/>
    </w:pPr>
    <w:rPr>
      <w:kern w:val="0"/>
      <w:sz w:val="20"/>
      <w:szCs w:val="24"/>
    </w:rPr>
  </w:style>
  <w:style w:type="paragraph" w:styleId="42">
    <w:name w:val="Balloon Text"/>
    <w:basedOn w:val="1"/>
    <w:link w:val="399"/>
    <w:qFormat/>
    <w:uiPriority w:val="0"/>
    <w:rPr>
      <w:sz w:val="18"/>
      <w:szCs w:val="18"/>
    </w:rPr>
  </w:style>
  <w:style w:type="paragraph" w:styleId="43">
    <w:name w:val="footer"/>
    <w:basedOn w:val="1"/>
    <w:link w:val="413"/>
    <w:qFormat/>
    <w:uiPriority w:val="0"/>
    <w:pPr>
      <w:tabs>
        <w:tab w:val="center" w:pos="4153"/>
        <w:tab w:val="right" w:pos="8306"/>
      </w:tabs>
      <w:snapToGrid w:val="0"/>
      <w:jc w:val="left"/>
    </w:pPr>
    <w:rPr>
      <w:kern w:val="0"/>
      <w:sz w:val="18"/>
      <w:szCs w:val="18"/>
    </w:rPr>
  </w:style>
  <w:style w:type="paragraph" w:styleId="44">
    <w:name w:val="header"/>
    <w:basedOn w:val="1"/>
    <w:link w:val="290"/>
    <w:qFormat/>
    <w:uiPriority w:val="0"/>
    <w:pPr>
      <w:pBdr>
        <w:bottom w:val="single" w:color="auto" w:sz="6" w:space="1"/>
      </w:pBdr>
      <w:tabs>
        <w:tab w:val="center" w:pos="4153"/>
        <w:tab w:val="right" w:pos="8306"/>
      </w:tabs>
      <w:snapToGrid w:val="0"/>
      <w:jc w:val="center"/>
    </w:pPr>
    <w:rPr>
      <w:kern w:val="0"/>
      <w:sz w:val="18"/>
      <w:szCs w:val="18"/>
    </w:rPr>
  </w:style>
  <w:style w:type="paragraph" w:styleId="45">
    <w:name w:val="toc 1"/>
    <w:basedOn w:val="1"/>
    <w:next w:val="1"/>
    <w:qFormat/>
    <w:uiPriority w:val="39"/>
    <w:pPr>
      <w:spacing w:before="120" w:after="120"/>
      <w:jc w:val="left"/>
    </w:pPr>
    <w:rPr>
      <w:rFonts w:ascii="Times New Roman" w:hAnsi="Times New Roman"/>
      <w:b/>
      <w:bCs/>
      <w:caps/>
      <w:sz w:val="20"/>
      <w:szCs w:val="20"/>
    </w:rPr>
  </w:style>
  <w:style w:type="paragraph" w:styleId="46">
    <w:name w:val="toc 4"/>
    <w:basedOn w:val="1"/>
    <w:next w:val="1"/>
    <w:qFormat/>
    <w:uiPriority w:val="39"/>
    <w:pPr>
      <w:ind w:left="630"/>
      <w:jc w:val="left"/>
    </w:pPr>
    <w:rPr>
      <w:rFonts w:ascii="Times New Roman" w:hAnsi="Times New Roman"/>
      <w:szCs w:val="21"/>
    </w:rPr>
  </w:style>
  <w:style w:type="paragraph" w:styleId="47">
    <w:name w:val="index heading"/>
    <w:basedOn w:val="1"/>
    <w:next w:val="48"/>
    <w:qFormat/>
    <w:uiPriority w:val="0"/>
    <w:pPr>
      <w:spacing w:before="120" w:after="120"/>
      <w:jc w:val="left"/>
    </w:pPr>
    <w:rPr>
      <w:rFonts w:ascii="Times New Roman" w:hAnsi="Times New Roman"/>
      <w:b/>
      <w:bCs/>
      <w:i/>
      <w:iCs/>
      <w:sz w:val="20"/>
      <w:szCs w:val="20"/>
    </w:rPr>
  </w:style>
  <w:style w:type="paragraph" w:styleId="48">
    <w:name w:val="index 1"/>
    <w:basedOn w:val="1"/>
    <w:next w:val="1"/>
    <w:semiHidden/>
    <w:qFormat/>
    <w:uiPriority w:val="0"/>
    <w:pPr>
      <w:adjustRightInd w:val="0"/>
      <w:spacing w:line="420" w:lineRule="atLeast"/>
      <w:textAlignment w:val="baseline"/>
    </w:pPr>
    <w:rPr>
      <w:rFonts w:ascii="Times New Roman" w:hAnsi="Times New Roman"/>
      <w:kern w:val="0"/>
      <w:szCs w:val="20"/>
    </w:rPr>
  </w:style>
  <w:style w:type="paragraph" w:styleId="49">
    <w:name w:val="Subtitle"/>
    <w:basedOn w:val="1"/>
    <w:link w:val="387"/>
    <w:qFormat/>
    <w:uiPriority w:val="0"/>
    <w:pPr>
      <w:spacing w:before="60" w:line="460" w:lineRule="exact"/>
      <w:jc w:val="center"/>
      <w:outlineLvl w:val="1"/>
    </w:pPr>
    <w:rPr>
      <w:rFonts w:ascii="Tahoma" w:hAnsi="@宋体" w:eastAsia="Tahoma"/>
      <w:kern w:val="28"/>
      <w:szCs w:val="24"/>
    </w:rPr>
  </w:style>
  <w:style w:type="paragraph" w:styleId="50">
    <w:name w:val="footnote text"/>
    <w:basedOn w:val="1"/>
    <w:link w:val="328"/>
    <w:qFormat/>
    <w:uiPriority w:val="0"/>
    <w:pPr>
      <w:snapToGrid w:val="0"/>
      <w:jc w:val="left"/>
    </w:pPr>
    <w:rPr>
      <w:kern w:val="0"/>
      <w:sz w:val="18"/>
      <w:szCs w:val="18"/>
    </w:rPr>
  </w:style>
  <w:style w:type="paragraph" w:styleId="51">
    <w:name w:val="toc 6"/>
    <w:basedOn w:val="1"/>
    <w:next w:val="1"/>
    <w:qFormat/>
    <w:uiPriority w:val="39"/>
    <w:pPr>
      <w:ind w:left="1050"/>
      <w:jc w:val="left"/>
    </w:pPr>
    <w:rPr>
      <w:rFonts w:ascii="Times New Roman" w:hAnsi="Times New Roman"/>
      <w:szCs w:val="21"/>
    </w:rPr>
  </w:style>
  <w:style w:type="paragraph" w:styleId="52">
    <w:name w:val="Body Text Indent 3"/>
    <w:basedOn w:val="1"/>
    <w:link w:val="333"/>
    <w:qFormat/>
    <w:uiPriority w:val="0"/>
    <w:pPr>
      <w:spacing w:after="120"/>
      <w:ind w:left="420" w:leftChars="200"/>
    </w:pPr>
    <w:rPr>
      <w:sz w:val="16"/>
      <w:szCs w:val="16"/>
    </w:rPr>
  </w:style>
  <w:style w:type="paragraph" w:styleId="53">
    <w:name w:val="index 7"/>
    <w:basedOn w:val="1"/>
    <w:next w:val="1"/>
    <w:qFormat/>
    <w:uiPriority w:val="0"/>
    <w:pPr>
      <w:ind w:left="1470" w:hanging="210"/>
      <w:jc w:val="left"/>
    </w:pPr>
    <w:rPr>
      <w:rFonts w:ascii="Times New Roman" w:hAnsi="Times New Roman"/>
      <w:sz w:val="20"/>
      <w:szCs w:val="20"/>
    </w:rPr>
  </w:style>
  <w:style w:type="paragraph" w:styleId="54">
    <w:name w:val="index 9"/>
    <w:basedOn w:val="1"/>
    <w:next w:val="1"/>
    <w:qFormat/>
    <w:uiPriority w:val="0"/>
    <w:pPr>
      <w:ind w:left="1890" w:hanging="210"/>
      <w:jc w:val="left"/>
    </w:pPr>
    <w:rPr>
      <w:rFonts w:ascii="Times New Roman" w:hAnsi="Times New Roman"/>
      <w:sz w:val="20"/>
      <w:szCs w:val="20"/>
    </w:rPr>
  </w:style>
  <w:style w:type="paragraph" w:styleId="55">
    <w:name w:val="table of figures"/>
    <w:basedOn w:val="1"/>
    <w:next w:val="1"/>
    <w:qFormat/>
    <w:uiPriority w:val="0"/>
    <w:pPr>
      <w:ind w:left="200" w:leftChars="200" w:hanging="200" w:hangingChars="200"/>
    </w:pPr>
    <w:rPr>
      <w:rFonts w:ascii="Times New Roman" w:hAnsi="Times New Roman"/>
      <w:szCs w:val="24"/>
    </w:rPr>
  </w:style>
  <w:style w:type="paragraph" w:styleId="56">
    <w:name w:val="toc 2"/>
    <w:basedOn w:val="1"/>
    <w:next w:val="1"/>
    <w:qFormat/>
    <w:uiPriority w:val="39"/>
    <w:pPr>
      <w:ind w:left="420" w:leftChars="200"/>
    </w:pPr>
  </w:style>
  <w:style w:type="paragraph" w:styleId="57">
    <w:name w:val="toc 9"/>
    <w:basedOn w:val="1"/>
    <w:next w:val="1"/>
    <w:qFormat/>
    <w:uiPriority w:val="39"/>
    <w:pPr>
      <w:ind w:left="1680"/>
      <w:jc w:val="left"/>
    </w:pPr>
    <w:rPr>
      <w:rFonts w:ascii="Times New Roman" w:hAnsi="Times New Roman"/>
      <w:szCs w:val="21"/>
    </w:rPr>
  </w:style>
  <w:style w:type="paragraph" w:styleId="58">
    <w:name w:val="Body Text 2"/>
    <w:basedOn w:val="1"/>
    <w:link w:val="334"/>
    <w:qFormat/>
    <w:uiPriority w:val="0"/>
    <w:pPr>
      <w:jc w:val="distribute"/>
    </w:pPr>
    <w:rPr>
      <w:sz w:val="44"/>
      <w:szCs w:val="24"/>
    </w:rPr>
  </w:style>
  <w:style w:type="paragraph" w:styleId="59">
    <w:name w:val="List Continue 2"/>
    <w:basedOn w:val="1"/>
    <w:qFormat/>
    <w:uiPriority w:val="0"/>
    <w:pPr>
      <w:spacing w:after="120"/>
      <w:ind w:left="840" w:leftChars="400"/>
    </w:pPr>
    <w:rPr>
      <w:rFonts w:ascii="Times New Roman" w:hAnsi="Times New Roman"/>
      <w:szCs w:val="24"/>
    </w:rPr>
  </w:style>
  <w:style w:type="paragraph" w:styleId="60">
    <w:name w:val="Normal (Web)"/>
    <w:basedOn w:val="1"/>
    <w:qFormat/>
    <w:uiPriority w:val="0"/>
    <w:pPr>
      <w:widowControl/>
      <w:spacing w:before="100" w:beforeAutospacing="1" w:after="100" w:afterAutospacing="1"/>
      <w:jc w:val="left"/>
    </w:pPr>
    <w:rPr>
      <w:rFonts w:ascii="宋体" w:hAnsi="宋体" w:cs="宋体"/>
      <w:kern w:val="0"/>
      <w:szCs w:val="24"/>
    </w:rPr>
  </w:style>
  <w:style w:type="paragraph" w:styleId="61">
    <w:name w:val="index 2"/>
    <w:basedOn w:val="1"/>
    <w:next w:val="1"/>
    <w:qFormat/>
    <w:uiPriority w:val="0"/>
    <w:pPr>
      <w:ind w:left="420" w:hanging="210"/>
      <w:jc w:val="left"/>
    </w:pPr>
    <w:rPr>
      <w:rFonts w:ascii="Times New Roman" w:hAnsi="Times New Roman"/>
      <w:sz w:val="20"/>
      <w:szCs w:val="20"/>
    </w:rPr>
  </w:style>
  <w:style w:type="paragraph" w:styleId="62">
    <w:name w:val="Title"/>
    <w:basedOn w:val="1"/>
    <w:link w:val="30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63">
    <w:name w:val="annotation subject"/>
    <w:basedOn w:val="21"/>
    <w:next w:val="21"/>
    <w:link w:val="375"/>
    <w:qFormat/>
    <w:uiPriority w:val="0"/>
    <w:rPr>
      <w:b/>
      <w:bCs/>
      <w:kern w:val="0"/>
      <w:sz w:val="20"/>
    </w:rPr>
  </w:style>
  <w:style w:type="paragraph" w:styleId="64">
    <w:name w:val="Body Text First Indent"/>
    <w:basedOn w:val="26"/>
    <w:qFormat/>
    <w:uiPriority w:val="0"/>
    <w:pPr>
      <w:ind w:firstLine="420"/>
    </w:pPr>
  </w:style>
  <w:style w:type="paragraph" w:styleId="65">
    <w:name w:val="Body Text First Indent 2"/>
    <w:basedOn w:val="27"/>
    <w:link w:val="296"/>
    <w:qFormat/>
    <w:uiPriority w:val="0"/>
    <w:pPr>
      <w:spacing w:after="120"/>
      <w:ind w:left="420" w:leftChars="200" w:firstLine="420" w:firstLineChars="200"/>
    </w:pPr>
    <w:rPr>
      <w:sz w:val="21"/>
      <w:szCs w:val="24"/>
    </w:rPr>
  </w:style>
  <w:style w:type="table" w:styleId="67">
    <w:name w:val="Table Grid"/>
    <w:basedOn w:val="6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9">
    <w:name w:val="Strong"/>
    <w:qFormat/>
    <w:uiPriority w:val="0"/>
    <w:rPr>
      <w:b/>
      <w:bCs/>
    </w:rPr>
  </w:style>
  <w:style w:type="character" w:styleId="70">
    <w:name w:val="endnote reference"/>
    <w:qFormat/>
    <w:uiPriority w:val="0"/>
    <w:rPr>
      <w:vertAlign w:val="superscript"/>
    </w:rPr>
  </w:style>
  <w:style w:type="character" w:styleId="71">
    <w:name w:val="page number"/>
    <w:basedOn w:val="68"/>
    <w:qFormat/>
    <w:uiPriority w:val="0"/>
  </w:style>
  <w:style w:type="character" w:styleId="72">
    <w:name w:val="FollowedHyperlink"/>
    <w:qFormat/>
    <w:uiPriority w:val="0"/>
    <w:rPr>
      <w:color w:val="800080"/>
      <w:u w:val="single"/>
    </w:rPr>
  </w:style>
  <w:style w:type="character" w:styleId="73">
    <w:name w:val="Emphasis"/>
    <w:qFormat/>
    <w:uiPriority w:val="0"/>
    <w:rPr>
      <w:i/>
      <w:iCs/>
    </w:rPr>
  </w:style>
  <w:style w:type="character" w:styleId="74">
    <w:name w:val="Hyperlink"/>
    <w:qFormat/>
    <w:uiPriority w:val="99"/>
    <w:rPr>
      <w:color w:val="0000FF"/>
      <w:u w:val="single"/>
    </w:rPr>
  </w:style>
  <w:style w:type="character" w:styleId="75">
    <w:name w:val="annotation reference"/>
    <w:semiHidden/>
    <w:qFormat/>
    <w:uiPriority w:val="0"/>
    <w:rPr>
      <w:sz w:val="21"/>
      <w:szCs w:val="21"/>
    </w:rPr>
  </w:style>
  <w:style w:type="character" w:styleId="76">
    <w:name w:val="footnote reference"/>
    <w:qFormat/>
    <w:uiPriority w:val="0"/>
    <w:rPr>
      <w:vertAlign w:val="superscript"/>
    </w:rPr>
  </w:style>
  <w:style w:type="character" w:customStyle="1" w:styleId="77">
    <w:name w:val="标题 1 Char"/>
    <w:qFormat/>
    <w:uiPriority w:val="0"/>
    <w:rPr>
      <w:rFonts w:eastAsia="宋体"/>
      <w:b/>
      <w:bCs/>
      <w:kern w:val="44"/>
      <w:sz w:val="44"/>
      <w:szCs w:val="44"/>
      <w:lang w:val="en-US" w:eastAsia="zh-CN" w:bidi="ar-SA"/>
    </w:rPr>
  </w:style>
  <w:style w:type="character" w:customStyle="1" w:styleId="78">
    <w:name w:val="标题 2 Char"/>
    <w:link w:val="4"/>
    <w:qFormat/>
    <w:uiPriority w:val="0"/>
    <w:rPr>
      <w:rFonts w:ascii="黑体" w:eastAsia="黑体"/>
      <w:b/>
      <w:sz w:val="24"/>
      <w:lang w:val="en-US" w:eastAsia="zh-CN" w:bidi="ar-SA"/>
    </w:rPr>
  </w:style>
  <w:style w:type="character" w:customStyle="1" w:styleId="79">
    <w:name w:val="标题 4 Char"/>
    <w:qFormat/>
    <w:uiPriority w:val="0"/>
    <w:rPr>
      <w:rFonts w:ascii="Arial" w:hAnsi="Arial" w:eastAsia="黑体"/>
      <w:b/>
      <w:bCs/>
      <w:kern w:val="2"/>
      <w:sz w:val="28"/>
      <w:szCs w:val="28"/>
      <w:lang w:val="en-US" w:eastAsia="zh-CN" w:bidi="ar-SA"/>
    </w:rPr>
  </w:style>
  <w:style w:type="character" w:customStyle="1" w:styleId="80">
    <w:name w:val="标题 3 Char"/>
    <w:qFormat/>
    <w:uiPriority w:val="0"/>
    <w:rPr>
      <w:rFonts w:eastAsia="宋体"/>
      <w:b/>
      <w:bCs/>
      <w:kern w:val="2"/>
      <w:sz w:val="32"/>
      <w:szCs w:val="32"/>
      <w:lang w:val="en-US" w:eastAsia="zh-CN" w:bidi="ar-SA"/>
    </w:rPr>
  </w:style>
  <w:style w:type="paragraph" w:customStyle="1" w:styleId="81">
    <w:name w:val="Char Char Char Char Char1 Char Char Char"/>
    <w:basedOn w:val="1"/>
    <w:qFormat/>
    <w:uiPriority w:val="0"/>
    <w:rPr>
      <w:rFonts w:ascii="@宋体" w:hAnsi="@宋体" w:eastAsia="文鼎大标宋简" w:cs="@宋体"/>
      <w:szCs w:val="24"/>
    </w:rPr>
  </w:style>
  <w:style w:type="paragraph" w:customStyle="1" w:styleId="82">
    <w:name w:val="BT2"/>
    <w:basedOn w:val="4"/>
    <w:next w:val="1"/>
    <w:qFormat/>
    <w:uiPriority w:val="0"/>
    <w:pPr>
      <w:keepNext/>
      <w:keepLines/>
      <w:adjustRightInd/>
      <w:spacing w:before="120" w:after="120" w:line="520" w:lineRule="exact"/>
      <w:jc w:val="both"/>
      <w:textAlignment w:val="auto"/>
    </w:pPr>
    <w:rPr>
      <w:rFonts w:ascii="Arial" w:hAnsi="Arial"/>
      <w:b w:val="0"/>
      <w:sz w:val="28"/>
    </w:rPr>
  </w:style>
  <w:style w:type="paragraph" w:customStyle="1" w:styleId="83">
    <w:name w:val="Char Char Char Char Char Char Char Char Char Char Char Char Char"/>
    <w:basedOn w:val="1"/>
    <w:qFormat/>
    <w:uiPriority w:val="0"/>
    <w:rPr>
      <w:rFonts w:ascii="@宋体" w:hAnsi="@宋体" w:eastAsia="文鼎大标宋简" w:cs="@宋体"/>
      <w:szCs w:val="24"/>
    </w:rPr>
  </w:style>
  <w:style w:type="paragraph" w:customStyle="1" w:styleId="84">
    <w:name w:val="xl80"/>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85">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86">
    <w:name w:val="Char3"/>
    <w:basedOn w:val="1"/>
    <w:qFormat/>
    <w:uiPriority w:val="0"/>
    <w:pPr>
      <w:autoSpaceDE w:val="0"/>
      <w:autoSpaceDN w:val="0"/>
      <w:adjustRightInd w:val="0"/>
      <w:spacing w:line="240" w:lineRule="atLeast"/>
      <w:ind w:left="420" w:firstLine="420"/>
      <w:jc w:val="left"/>
    </w:pPr>
    <w:rPr>
      <w:rFonts w:ascii="宋体" w:hAnsi="Times New Roman"/>
      <w:kern w:val="0"/>
      <w:sz w:val="34"/>
      <w:szCs w:val="20"/>
    </w:rPr>
  </w:style>
  <w:style w:type="paragraph" w:customStyle="1" w:styleId="87">
    <w:name w:val="xl68"/>
    <w:basedOn w:val="1"/>
    <w:qFormat/>
    <w:uiPriority w:val="0"/>
    <w:pPr>
      <w:widowControl/>
      <w:pBdr>
        <w:top w:val="single" w:color="auto" w:sz="4" w:space="0"/>
        <w:lef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88">
    <w:name w:val="xl82"/>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89">
    <w:name w:val="正文_3"/>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0">
    <w:name w:val="xl57"/>
    <w:basedOn w:val="1"/>
    <w:qFormat/>
    <w:uiPriority w:val="0"/>
    <w:pPr>
      <w:widowControl/>
      <w:pBdr>
        <w:bottom w:val="single" w:color="auto" w:sz="4" w:space="0"/>
      </w:pBdr>
      <w:spacing w:before="100" w:beforeAutospacing="1" w:after="100" w:afterAutospacing="1"/>
      <w:jc w:val="center"/>
    </w:pPr>
    <w:rPr>
      <w:rFonts w:ascii="宋体" w:hAnsi="宋体"/>
      <w:kern w:val="0"/>
      <w:sz w:val="44"/>
      <w:szCs w:val="44"/>
    </w:rPr>
  </w:style>
  <w:style w:type="paragraph" w:customStyle="1" w:styleId="91">
    <w:name w:val="无间隔1"/>
    <w:link w:val="376"/>
    <w:qFormat/>
    <w:uiPriority w:val="0"/>
    <w:rPr>
      <w:rFonts w:ascii="Times New Roman" w:hAnsi="Times New Roman" w:eastAsia="Times New Roman" w:cs="Times New Roman"/>
      <w:kern w:val="2"/>
      <w:sz w:val="22"/>
      <w:lang w:val="en-US" w:eastAsia="zh-CN" w:bidi="ar-SA"/>
    </w:rPr>
  </w:style>
  <w:style w:type="paragraph" w:customStyle="1" w:styleId="92">
    <w:name w:val="样式 标题 3 + (中文) 黑体 小四 非加粗 段前: 7.8 磅 段后: 0 磅 行距: 固定值 20 磅_1"/>
    <w:basedOn w:val="93"/>
    <w:next w:val="1"/>
    <w:qFormat/>
    <w:uiPriority w:val="0"/>
    <w:pPr>
      <w:spacing w:before="0" w:after="0" w:line="400" w:lineRule="exact"/>
    </w:pPr>
    <w:rPr>
      <w:rFonts w:cs="宋体"/>
      <w:b w:val="0"/>
      <w:bCs/>
      <w:sz w:val="24"/>
    </w:rPr>
  </w:style>
  <w:style w:type="paragraph" w:customStyle="1" w:styleId="93">
    <w:name w:val="标题 3_1"/>
    <w:basedOn w:val="94"/>
    <w:next w:val="94"/>
    <w:link w:val="422"/>
    <w:qFormat/>
    <w:uiPriority w:val="0"/>
    <w:pPr>
      <w:keepNext/>
      <w:keepLines/>
      <w:spacing w:before="260" w:after="260" w:line="413" w:lineRule="auto"/>
      <w:outlineLvl w:val="2"/>
    </w:pPr>
    <w:rPr>
      <w:rFonts w:ascii="Calibri" w:hAnsi="Calibri"/>
      <w:b/>
      <w:kern w:val="0"/>
      <w:sz w:val="32"/>
    </w:rPr>
  </w:style>
  <w:style w:type="paragraph" w:customStyle="1" w:styleId="94">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
    <w:name w:val="xl72"/>
    <w:basedOn w:val="1"/>
    <w:qFormat/>
    <w:uiPriority w:val="0"/>
    <w:pPr>
      <w:widowControl/>
      <w:pBdr>
        <w:bottom w:val="single" w:color="auto" w:sz="4" w:space="0"/>
      </w:pBdr>
      <w:spacing w:before="100" w:beforeAutospacing="1" w:after="100" w:afterAutospacing="1"/>
      <w:jc w:val="left"/>
      <w:textAlignment w:val="center"/>
    </w:pPr>
    <w:rPr>
      <w:rFonts w:ascii="宋体" w:hAnsi="宋体"/>
      <w:kern w:val="0"/>
      <w:szCs w:val="24"/>
    </w:rPr>
  </w:style>
  <w:style w:type="paragraph" w:customStyle="1" w:styleId="96">
    <w:name w:val="节名"/>
    <w:basedOn w:val="1"/>
    <w:qFormat/>
    <w:uiPriority w:val="0"/>
    <w:pPr>
      <w:spacing w:line="720" w:lineRule="auto"/>
      <w:jc w:val="center"/>
    </w:pPr>
    <w:rPr>
      <w:rFonts w:ascii="宋体" w:hAnsi="宋体"/>
      <w:b/>
      <w:bCs/>
      <w:sz w:val="28"/>
      <w:szCs w:val="20"/>
    </w:rPr>
  </w:style>
  <w:style w:type="paragraph" w:customStyle="1" w:styleId="97">
    <w:name w:val="文章"/>
    <w:link w:val="381"/>
    <w:qFormat/>
    <w:uiPriority w:val="0"/>
    <w:pPr>
      <w:adjustRightInd w:val="0"/>
      <w:snapToGrid w:val="0"/>
      <w:spacing w:line="360" w:lineRule="auto"/>
      <w:ind w:firstLine="520" w:firstLineChars="200"/>
    </w:pPr>
    <w:rPr>
      <w:rFonts w:ascii="Times New Roman" w:hAnsi="Times New Roman" w:eastAsia="Times New Roman" w:cs="Times New Roman"/>
      <w:kern w:val="2"/>
      <w:sz w:val="24"/>
      <w:szCs w:val="24"/>
      <w:lang w:val="en-US" w:eastAsia="zh-CN" w:bidi="ar-SA"/>
    </w:rPr>
  </w:style>
  <w:style w:type="paragraph" w:customStyle="1" w:styleId="98">
    <w:name w:val="表中"/>
    <w:basedOn w:val="1"/>
    <w:qFormat/>
    <w:uiPriority w:val="0"/>
    <w:pPr>
      <w:adjustRightInd w:val="0"/>
      <w:spacing w:line="360" w:lineRule="atLeast"/>
      <w:jc w:val="center"/>
      <w:textAlignment w:val="baseline"/>
    </w:pPr>
    <w:rPr>
      <w:rFonts w:ascii="Times New Roman" w:hAnsi="Times New Roman"/>
      <w:kern w:val="0"/>
      <w:szCs w:val="20"/>
    </w:rPr>
  </w:style>
  <w:style w:type="paragraph" w:customStyle="1" w:styleId="9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100">
    <w:name w:val="样式 标题 2 + 小四"/>
    <w:basedOn w:val="4"/>
    <w:qFormat/>
    <w:uiPriority w:val="0"/>
    <w:pPr>
      <w:keepNext/>
      <w:keepLines/>
      <w:adjustRightInd/>
      <w:spacing w:before="260" w:after="260" w:line="360" w:lineRule="auto"/>
      <w:textAlignment w:val="auto"/>
    </w:pPr>
    <w:rPr>
      <w:rFonts w:ascii="Arial" w:hAnsi="Arial"/>
      <w:bCs/>
      <w:sz w:val="30"/>
      <w:szCs w:val="32"/>
    </w:rPr>
  </w:style>
  <w:style w:type="paragraph" w:customStyle="1" w:styleId="101">
    <w:name w:val="Char Char Char Char Char Char1"/>
    <w:basedOn w:val="1"/>
    <w:qFormat/>
    <w:uiPriority w:val="0"/>
    <w:rPr>
      <w:rFonts w:ascii="Times New Roman" w:hAnsi="Times New Roman"/>
      <w:szCs w:val="24"/>
    </w:rPr>
  </w:style>
  <w:style w:type="paragraph" w:customStyle="1" w:styleId="102">
    <w:name w:val="Body1!"/>
    <w:basedOn w:val="1"/>
    <w:link w:val="289"/>
    <w:qFormat/>
    <w:uiPriority w:val="0"/>
    <w:pPr>
      <w:widowControl/>
      <w:tabs>
        <w:tab w:val="left" w:pos="1247"/>
      </w:tabs>
      <w:spacing w:before="120" w:line="288" w:lineRule="auto"/>
      <w:ind w:left="1247" w:firstLine="200" w:firstLineChars="200"/>
    </w:pPr>
    <w:rPr>
      <w:rFonts w:ascii="Arial" w:hAnsi="Arial"/>
      <w:kern w:val="0"/>
      <w:sz w:val="20"/>
      <w:szCs w:val="21"/>
      <w:lang w:eastAsia="en-US"/>
    </w:rPr>
  </w:style>
  <w:style w:type="paragraph" w:customStyle="1" w:styleId="103">
    <w:name w:val="1"/>
    <w:basedOn w:val="1"/>
    <w:next w:val="1"/>
    <w:qFormat/>
    <w:uiPriority w:val="0"/>
    <w:rPr>
      <w:rFonts w:ascii="Times New Roman" w:hAnsi="Times New Roman"/>
      <w:szCs w:val="24"/>
    </w:rPr>
  </w:style>
  <w:style w:type="paragraph" w:customStyle="1" w:styleId="104">
    <w:name w:val="篇名"/>
    <w:basedOn w:val="3"/>
    <w:qFormat/>
    <w:uiPriority w:val="0"/>
    <w:pPr>
      <w:adjustRightInd/>
      <w:spacing w:before="0" w:after="0" w:line="240" w:lineRule="auto"/>
      <w:textAlignment w:val="auto"/>
    </w:pPr>
    <w:rPr>
      <w:rFonts w:ascii="宋体" w:hAnsi="宋体"/>
      <w:sz w:val="44"/>
      <w:szCs w:val="44"/>
    </w:rPr>
  </w:style>
  <w:style w:type="paragraph" w:customStyle="1" w:styleId="105">
    <w:name w:val="表1"/>
    <w:basedOn w:val="1"/>
    <w:qFormat/>
    <w:uiPriority w:val="0"/>
    <w:pPr>
      <w:tabs>
        <w:tab w:val="left" w:pos="1140"/>
      </w:tabs>
      <w:overflowPunct w:val="0"/>
      <w:autoSpaceDE w:val="0"/>
      <w:autoSpaceDN w:val="0"/>
      <w:adjustRightInd w:val="0"/>
      <w:spacing w:before="200" w:line="320" w:lineRule="atLeast"/>
      <w:ind w:left="1140" w:hanging="720"/>
      <w:textAlignment w:val="baseline"/>
    </w:pPr>
    <w:rPr>
      <w:rFonts w:ascii="@宋体" w:hAnsi="@宋体" w:eastAsia="文鼎大标宋简" w:cs="@宋体"/>
      <w:kern w:val="0"/>
      <w:szCs w:val="20"/>
    </w:rPr>
  </w:style>
  <w:style w:type="paragraph" w:customStyle="1" w:styleId="106">
    <w:name w:val="正文部分"/>
    <w:basedOn w:val="1"/>
    <w:link w:val="380"/>
    <w:qFormat/>
    <w:uiPriority w:val="0"/>
    <w:pPr>
      <w:spacing w:line="500" w:lineRule="exact"/>
      <w:ind w:firstLine="480" w:firstLineChars="200"/>
      <w:textAlignment w:val="center"/>
    </w:pPr>
    <w:rPr>
      <w:rFonts w:ascii="华文细黑" w:hAnsi="华文细黑"/>
      <w:szCs w:val="20"/>
    </w:rPr>
  </w:style>
  <w:style w:type="paragraph" w:customStyle="1" w:styleId="107">
    <w:name w:val="样式1"/>
    <w:basedOn w:val="3"/>
    <w:qFormat/>
    <w:uiPriority w:val="0"/>
    <w:pPr>
      <w:keepNext/>
      <w:adjustRightInd/>
      <w:spacing w:before="0" w:after="0" w:line="360" w:lineRule="auto"/>
      <w:textAlignment w:val="auto"/>
    </w:pPr>
    <w:rPr>
      <w:rFonts w:ascii="宋体" w:hAnsi="宋体"/>
      <w:bCs/>
      <w:sz w:val="44"/>
    </w:rPr>
  </w:style>
  <w:style w:type="paragraph" w:customStyle="1" w:styleId="108">
    <w:name w:val="xl4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Cs w:val="24"/>
    </w:rPr>
  </w:style>
  <w:style w:type="paragraph" w:customStyle="1" w:styleId="109">
    <w:name w:val="正文_2_0"/>
    <w:qFormat/>
    <w:uiPriority w:val="0"/>
    <w:pPr>
      <w:widowControl w:val="0"/>
      <w:adjustRightInd w:val="0"/>
      <w:spacing w:line="315" w:lineRule="atLeast"/>
      <w:textAlignment w:val="baseline"/>
    </w:pPr>
    <w:rPr>
      <w:rFonts w:ascii="宋体" w:hAnsi="Calibri" w:eastAsia="宋体" w:cs="Times New Roman"/>
      <w:sz w:val="21"/>
      <w:lang w:val="en-US" w:eastAsia="zh-CN" w:bidi="ar-SA"/>
    </w:rPr>
  </w:style>
  <w:style w:type="paragraph" w:customStyle="1" w:styleId="110">
    <w:name w:val="Char Char Char Char Char Char Char Char Char Char Char Char Char Char Char Char Char Char Char"/>
    <w:basedOn w:val="1"/>
    <w:qFormat/>
    <w:uiPriority w:val="0"/>
    <w:rPr>
      <w:rFonts w:ascii="Times New Roman" w:hAnsi="Times New Roman"/>
      <w:szCs w:val="24"/>
    </w:rPr>
  </w:style>
  <w:style w:type="paragraph" w:customStyle="1" w:styleId="111">
    <w:name w:val="font6"/>
    <w:basedOn w:val="1"/>
    <w:qFormat/>
    <w:uiPriority w:val="0"/>
    <w:pPr>
      <w:widowControl/>
      <w:spacing w:before="100" w:beforeAutospacing="1" w:after="100" w:afterAutospacing="1"/>
      <w:jc w:val="left"/>
    </w:pPr>
    <w:rPr>
      <w:rFonts w:hint="eastAsia" w:ascii="宋体" w:hAnsi="宋体"/>
      <w:kern w:val="0"/>
      <w:sz w:val="44"/>
      <w:szCs w:val="44"/>
    </w:rPr>
  </w:style>
  <w:style w:type="paragraph" w:customStyle="1" w:styleId="112">
    <w:name w:val="标题 3_0"/>
    <w:basedOn w:val="113"/>
    <w:next w:val="113"/>
    <w:link w:val="307"/>
    <w:qFormat/>
    <w:uiPriority w:val="0"/>
    <w:pPr>
      <w:keepNext/>
      <w:keepLines/>
      <w:spacing w:before="260" w:after="260" w:line="413" w:lineRule="auto"/>
      <w:outlineLvl w:val="2"/>
    </w:pPr>
    <w:rPr>
      <w:b/>
      <w:kern w:val="0"/>
      <w:sz w:val="32"/>
      <w:szCs w:val="20"/>
    </w:rPr>
  </w:style>
  <w:style w:type="paragraph" w:customStyle="1" w:styleId="113">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4">
    <w:name w:val="Char Char Char Char Char Char Char Char Char Char"/>
    <w:basedOn w:val="1"/>
    <w:next w:val="1"/>
    <w:qFormat/>
    <w:uiPriority w:val="0"/>
    <w:rPr>
      <w:rFonts w:ascii="Times New Roman" w:hAnsi="Times New Roman" w:eastAsia="黑体"/>
      <w:sz w:val="28"/>
      <w:szCs w:val="24"/>
    </w:rPr>
  </w:style>
  <w:style w:type="paragraph" w:customStyle="1" w:styleId="115">
    <w:name w:val="项名"/>
    <w:basedOn w:val="1"/>
    <w:qFormat/>
    <w:uiPriority w:val="0"/>
    <w:pPr>
      <w:spacing w:before="120" w:after="120" w:line="440" w:lineRule="exact"/>
    </w:pPr>
    <w:rPr>
      <w:rFonts w:ascii="黑体" w:hAnsi="宋体" w:eastAsia="黑体"/>
      <w:bCs/>
      <w:sz w:val="30"/>
      <w:szCs w:val="20"/>
    </w:rPr>
  </w:style>
  <w:style w:type="paragraph" w:customStyle="1" w:styleId="116">
    <w:name w:val="Char"/>
    <w:basedOn w:val="1"/>
    <w:qFormat/>
    <w:uiPriority w:val="0"/>
    <w:pPr>
      <w:spacing w:line="360" w:lineRule="auto"/>
      <w:ind w:firstLine="200" w:firstLineChars="200"/>
    </w:pPr>
    <w:rPr>
      <w:rFonts w:ascii="宋体" w:hAnsi="宋体" w:cs="宋体"/>
      <w:szCs w:val="24"/>
    </w:rPr>
  </w:style>
  <w:style w:type="paragraph" w:customStyle="1" w:styleId="117">
    <w:name w:val="表头"/>
    <w:basedOn w:val="1"/>
    <w:qFormat/>
    <w:uiPriority w:val="0"/>
    <w:pPr>
      <w:adjustRightInd w:val="0"/>
      <w:spacing w:before="60" w:after="60" w:line="420" w:lineRule="atLeast"/>
      <w:jc w:val="left"/>
      <w:textAlignment w:val="baseline"/>
    </w:pPr>
    <w:rPr>
      <w:rFonts w:ascii="黑体" w:hAnsi="Times New Roman" w:eastAsia="黑体"/>
      <w:b/>
      <w:kern w:val="0"/>
      <w:szCs w:val="20"/>
    </w:rPr>
  </w:style>
  <w:style w:type="paragraph" w:customStyle="1" w:styleId="118">
    <w:name w:val="font8"/>
    <w:basedOn w:val="1"/>
    <w:qFormat/>
    <w:uiPriority w:val="0"/>
    <w:pPr>
      <w:widowControl/>
      <w:spacing w:before="100" w:beforeAutospacing="1" w:after="100" w:afterAutospacing="1"/>
      <w:jc w:val="left"/>
    </w:pPr>
    <w:rPr>
      <w:rFonts w:hint="eastAsia" w:ascii="宋体" w:hAnsi="宋体"/>
      <w:kern w:val="0"/>
      <w:szCs w:val="24"/>
    </w:rPr>
  </w:style>
  <w:style w:type="paragraph" w:customStyle="1" w:styleId="119">
    <w:name w:val="表格文字居中"/>
    <w:basedOn w:val="1"/>
    <w:next w:val="1"/>
    <w:qFormat/>
    <w:uiPriority w:val="0"/>
    <w:pPr>
      <w:tabs>
        <w:tab w:val="left" w:pos="720"/>
        <w:tab w:val="left" w:pos="900"/>
      </w:tabs>
      <w:adjustRightInd w:val="0"/>
      <w:snapToGrid w:val="0"/>
      <w:spacing w:beforeLines="20" w:afterLines="20" w:line="360" w:lineRule="auto"/>
      <w:jc w:val="center"/>
    </w:pPr>
    <w:rPr>
      <w:rFonts w:ascii="宋体" w:hAnsi="Arial"/>
      <w:kern w:val="0"/>
      <w:sz w:val="18"/>
      <w:szCs w:val="20"/>
    </w:rPr>
  </w:style>
  <w:style w:type="paragraph" w:customStyle="1" w:styleId="120">
    <w:name w:val="3 Char"/>
    <w:basedOn w:val="1"/>
    <w:next w:val="1"/>
    <w:qFormat/>
    <w:uiPriority w:val="0"/>
    <w:rPr>
      <w:rFonts w:ascii="Times New Roman" w:hAnsi="Times New Roman" w:eastAsia="黑体"/>
      <w:sz w:val="28"/>
      <w:szCs w:val="24"/>
    </w:rPr>
  </w:style>
  <w:style w:type="paragraph" w:customStyle="1" w:styleId="121">
    <w:name w:val="xl81"/>
    <w:basedOn w:val="1"/>
    <w:qFormat/>
    <w:uiPriority w:val="0"/>
    <w:pPr>
      <w:widowControl/>
      <w:pBdr>
        <w:bottom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22">
    <w:name w:val="默认段落字体 Para Char Char Char Char Char Char Char Char Char Char Char Char Char"/>
    <w:basedOn w:val="1"/>
    <w:qFormat/>
    <w:uiPriority w:val="0"/>
    <w:rPr>
      <w:rFonts w:ascii="Times New Roman" w:hAnsi="Times New Roman"/>
      <w:szCs w:val="24"/>
    </w:rPr>
  </w:style>
  <w:style w:type="paragraph" w:customStyle="1" w:styleId="123">
    <w:name w:val="xl8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124">
    <w:name w:val="章、篇名"/>
    <w:basedOn w:val="1"/>
    <w:next w:val="1"/>
    <w:qFormat/>
    <w:uiPriority w:val="0"/>
    <w:pPr>
      <w:spacing w:before="480" w:after="360" w:line="560" w:lineRule="exact"/>
      <w:jc w:val="center"/>
    </w:pPr>
    <w:rPr>
      <w:rFonts w:ascii="Times New Roman" w:hAnsi="Times New Roman" w:eastAsia="文鼎大标宋简"/>
      <w:b/>
      <w:sz w:val="36"/>
      <w:szCs w:val="20"/>
    </w:rPr>
  </w:style>
  <w:style w:type="paragraph" w:customStyle="1" w:styleId="125">
    <w:name w:val="xl3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126">
    <w:name w:val="表内内容"/>
    <w:basedOn w:val="1"/>
    <w:qFormat/>
    <w:uiPriority w:val="0"/>
    <w:pPr>
      <w:widowControl/>
      <w:jc w:val="center"/>
    </w:pPr>
    <w:rPr>
      <w:rFonts w:ascii="@宋体" w:hAnsi="@宋体" w:eastAsia="文鼎大标宋简" w:cs="@宋体"/>
      <w:szCs w:val="21"/>
    </w:rPr>
  </w:style>
  <w:style w:type="paragraph" w:customStyle="1" w:styleId="127">
    <w:name w:val="Char Char Char Char"/>
    <w:basedOn w:val="1"/>
    <w:qFormat/>
    <w:uiPriority w:val="0"/>
    <w:pPr>
      <w:spacing w:line="360" w:lineRule="auto"/>
      <w:ind w:firstLine="200" w:firstLineChars="200"/>
    </w:pPr>
    <w:rPr>
      <w:rFonts w:ascii="宋体" w:hAnsi="宋体" w:cs="宋体"/>
      <w:szCs w:val="24"/>
    </w:rPr>
  </w:style>
  <w:style w:type="paragraph" w:customStyle="1" w:styleId="128">
    <w:name w:val="p0"/>
    <w:basedOn w:val="1"/>
    <w:qFormat/>
    <w:uiPriority w:val="0"/>
    <w:pPr>
      <w:widowControl/>
    </w:pPr>
    <w:rPr>
      <w:rFonts w:ascii="Times New Roman" w:hAnsi="Times New Roman"/>
      <w:kern w:val="0"/>
      <w:szCs w:val="21"/>
    </w:rPr>
  </w:style>
  <w:style w:type="paragraph" w:customStyle="1" w:styleId="129">
    <w:name w:val="xl2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130">
    <w:name w:val="Char Char Char Char1"/>
    <w:basedOn w:val="1"/>
    <w:semiHidden/>
    <w:qFormat/>
    <w:uiPriority w:val="0"/>
    <w:rPr>
      <w:rFonts w:ascii="Times New Roman" w:hAnsi="Times New Roman"/>
      <w:szCs w:val="24"/>
    </w:rPr>
  </w:style>
  <w:style w:type="paragraph" w:customStyle="1" w:styleId="131">
    <w:name w:val="Char Char Char Char Char Char Char"/>
    <w:basedOn w:val="1"/>
    <w:qFormat/>
    <w:uiPriority w:val="0"/>
    <w:rPr>
      <w:rFonts w:ascii="Tahoma" w:hAnsi="Tahoma"/>
      <w:szCs w:val="20"/>
    </w:rPr>
  </w:style>
  <w:style w:type="paragraph" w:customStyle="1" w:styleId="132">
    <w:name w:val="内正文"/>
    <w:basedOn w:val="1"/>
    <w:qFormat/>
    <w:uiPriority w:val="0"/>
    <w:pPr>
      <w:ind w:firstLine="420"/>
    </w:pPr>
    <w:rPr>
      <w:rFonts w:ascii="Times New Roman" w:hAnsi="Times New Roman" w:eastAsia="文鼎CS书宋二"/>
      <w:szCs w:val="20"/>
    </w:rPr>
  </w:style>
  <w:style w:type="paragraph" w:customStyle="1" w:styleId="133">
    <w:name w:val="xl53"/>
    <w:basedOn w:val="1"/>
    <w:qFormat/>
    <w:uiPriority w:val="0"/>
    <w:pPr>
      <w:widowControl/>
      <w:pBdr>
        <w:bottom w:val="single" w:color="auto" w:sz="4" w:space="0"/>
      </w:pBdr>
      <w:spacing w:before="100" w:beforeAutospacing="1" w:after="100" w:afterAutospacing="1"/>
      <w:jc w:val="left"/>
    </w:pPr>
    <w:rPr>
      <w:rFonts w:ascii="宋体" w:hAnsi="宋体"/>
      <w:kern w:val="0"/>
      <w:szCs w:val="24"/>
    </w:rPr>
  </w:style>
  <w:style w:type="paragraph" w:customStyle="1" w:styleId="134">
    <w:name w:val="Char Char Char Char Char Char Char Char Char Char Char Char Char Char Char Char Char Char1 Char Char Char Char"/>
    <w:basedOn w:val="1"/>
    <w:qFormat/>
    <w:uiPriority w:val="0"/>
    <w:rPr>
      <w:rFonts w:ascii="Times New Roman" w:hAnsi="Times New Roman"/>
      <w:szCs w:val="24"/>
    </w:rPr>
  </w:style>
  <w:style w:type="paragraph" w:customStyle="1" w:styleId="13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Cs w:val="24"/>
    </w:rPr>
  </w:style>
  <w:style w:type="paragraph" w:customStyle="1" w:styleId="136">
    <w:name w:val="Char1 Char Char Char"/>
    <w:basedOn w:val="1"/>
    <w:next w:val="1"/>
    <w:qFormat/>
    <w:uiPriority w:val="0"/>
    <w:pPr>
      <w:spacing w:line="240" w:lineRule="atLeast"/>
      <w:ind w:left="420" w:firstLine="420"/>
      <w:jc w:val="left"/>
    </w:pPr>
    <w:rPr>
      <w:rFonts w:ascii="Times New Roman" w:hAnsi="Times New Roman"/>
      <w:kern w:val="0"/>
      <w:szCs w:val="21"/>
    </w:rPr>
  </w:style>
  <w:style w:type="paragraph" w:customStyle="1" w:styleId="137">
    <w:name w:val="xl4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top"/>
    </w:pPr>
    <w:rPr>
      <w:rFonts w:ascii="宋体" w:hAnsi="宋体"/>
      <w:kern w:val="0"/>
      <w:szCs w:val="24"/>
    </w:rPr>
  </w:style>
  <w:style w:type="paragraph" w:customStyle="1" w:styleId="138">
    <w:name w:val="xl27"/>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宋体" w:hAnsi="宋体"/>
      <w:kern w:val="0"/>
      <w:szCs w:val="24"/>
    </w:rPr>
  </w:style>
  <w:style w:type="paragraph" w:customStyle="1" w:styleId="139">
    <w:name w:val="表格3"/>
    <w:basedOn w:val="1"/>
    <w:qFormat/>
    <w:uiPriority w:val="0"/>
    <w:pPr>
      <w:adjustRightInd w:val="0"/>
      <w:spacing w:line="420" w:lineRule="atLeast"/>
      <w:textAlignment w:val="baseline"/>
    </w:pPr>
    <w:rPr>
      <w:rFonts w:ascii="Times New Roman" w:hAnsi="Times New Roman" w:eastAsia="楷体"/>
      <w:kern w:val="0"/>
      <w:szCs w:val="20"/>
    </w:rPr>
  </w:style>
  <w:style w:type="paragraph" w:customStyle="1" w:styleId="140">
    <w:name w:val="样式 标题 3 + (中文) 黑体 小四 非加粗 段前: 7.8 磅 段后: 0 磅 行距: 固定值 20 磅_0"/>
    <w:basedOn w:val="1"/>
    <w:qFormat/>
    <w:uiPriority w:val="0"/>
    <w:pPr>
      <w:keepNext/>
      <w:keepLines/>
      <w:spacing w:line="400" w:lineRule="exact"/>
      <w:outlineLvl w:val="2"/>
    </w:pPr>
    <w:rPr>
      <w:rFonts w:ascii="Times New Roman" w:hAnsi="Times New Roman" w:cs="宋体"/>
      <w:bCs/>
      <w:szCs w:val="20"/>
    </w:rPr>
  </w:style>
  <w:style w:type="paragraph" w:customStyle="1" w:styleId="141">
    <w:name w:val="样式 标题 3 + 首行缩进:  2 字符1"/>
    <w:basedOn w:val="5"/>
    <w:qFormat/>
    <w:uiPriority w:val="0"/>
    <w:pPr>
      <w:spacing w:before="120" w:after="0" w:line="415" w:lineRule="auto"/>
      <w:ind w:firstLine="200" w:firstLineChars="200"/>
    </w:pPr>
    <w:rPr>
      <w:rFonts w:ascii="@宋体" w:hAnsi="@宋体" w:eastAsia="文鼎大标宋简" w:cs="文鼎大标宋简"/>
      <w:sz w:val="24"/>
      <w:szCs w:val="20"/>
    </w:rPr>
  </w:style>
  <w:style w:type="paragraph" w:customStyle="1" w:styleId="142">
    <w:name w:val="xl3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Cs w:val="24"/>
    </w:rPr>
  </w:style>
  <w:style w:type="paragraph" w:customStyle="1" w:styleId="143">
    <w:name w:val="xl59"/>
    <w:basedOn w:val="1"/>
    <w:qFormat/>
    <w:uiPriority w:val="0"/>
    <w:pPr>
      <w:widowControl/>
      <w:pBdr>
        <w:top w:val="single" w:color="auto" w:sz="4" w:space="0"/>
      </w:pBdr>
      <w:spacing w:before="100" w:beforeAutospacing="1" w:after="100" w:afterAutospacing="1"/>
      <w:jc w:val="center"/>
      <w:textAlignment w:val="center"/>
    </w:pPr>
    <w:rPr>
      <w:rFonts w:ascii="宋体" w:hAnsi="宋体"/>
      <w:kern w:val="0"/>
      <w:szCs w:val="24"/>
    </w:rPr>
  </w:style>
  <w:style w:type="paragraph" w:customStyle="1" w:styleId="144">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45">
    <w:name w:val="Char Char Char Char Char Char"/>
    <w:basedOn w:val="1"/>
    <w:qFormat/>
    <w:uiPriority w:val="0"/>
    <w:rPr>
      <w:rFonts w:ascii="Times New Roman" w:hAnsi="Times New Roman"/>
      <w:szCs w:val="24"/>
    </w:rPr>
  </w:style>
  <w:style w:type="paragraph" w:customStyle="1" w:styleId="146">
    <w:name w:val="标题 2 New"/>
    <w:basedOn w:val="147"/>
    <w:next w:val="147"/>
    <w:qFormat/>
    <w:uiPriority w:val="0"/>
    <w:pPr>
      <w:keepNext/>
      <w:keepLines/>
      <w:adjustRightInd w:val="0"/>
      <w:snapToGrid w:val="0"/>
      <w:spacing w:beforeLines="100" w:afterLines="100"/>
      <w:ind w:firstLine="0" w:firstLineChars="0"/>
      <w:outlineLvl w:val="1"/>
    </w:pPr>
    <w:rPr>
      <w:rFonts w:ascii="Arial" w:hAnsi="Arial" w:eastAsia="黑体"/>
      <w:bCs/>
      <w:sz w:val="28"/>
      <w:szCs w:val="32"/>
    </w:rPr>
  </w:style>
  <w:style w:type="paragraph" w:customStyle="1" w:styleId="147">
    <w:name w:val="正文 New New"/>
    <w:qFormat/>
    <w:uiPriority w:val="0"/>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48">
    <w:name w:val="样式4"/>
    <w:basedOn w:val="149"/>
    <w:qFormat/>
    <w:uiPriority w:val="0"/>
    <w:pPr>
      <w:tabs>
        <w:tab w:val="left" w:pos="227"/>
        <w:tab w:val="left" w:pos="1381"/>
      </w:tabs>
      <w:spacing w:before="120" w:after="120"/>
      <w:ind w:left="229"/>
      <w:jc w:val="left"/>
      <w:outlineLvl w:val="4"/>
    </w:pPr>
    <w:rPr>
      <w:b/>
      <w:kern w:val="24"/>
      <w:szCs w:val="22"/>
    </w:rPr>
  </w:style>
  <w:style w:type="paragraph" w:customStyle="1" w:styleId="149">
    <w:name w:val="样式5"/>
    <w:basedOn w:val="1"/>
    <w:qFormat/>
    <w:uiPriority w:val="0"/>
    <w:pPr>
      <w:tabs>
        <w:tab w:val="left" w:pos="1381"/>
      </w:tabs>
      <w:adjustRightInd w:val="0"/>
      <w:snapToGrid w:val="0"/>
      <w:spacing w:beforeLines="50" w:afterLines="50"/>
      <w:ind w:left="1381"/>
      <w:outlineLvl w:val="5"/>
    </w:pPr>
    <w:rPr>
      <w:rFonts w:ascii="Times New Roman" w:hAnsi="Times New Roman"/>
      <w:szCs w:val="24"/>
    </w:rPr>
  </w:style>
  <w:style w:type="paragraph" w:customStyle="1" w:styleId="150">
    <w:name w:val="xl50"/>
    <w:basedOn w:val="1"/>
    <w:qFormat/>
    <w:uiPriority w:val="0"/>
    <w:pPr>
      <w:widowControl/>
      <w:pBdr>
        <w:top w:val="single" w:color="auto" w:sz="4" w:space="0"/>
      </w:pBdr>
      <w:spacing w:before="100" w:beforeAutospacing="1" w:after="100" w:afterAutospacing="1"/>
      <w:jc w:val="left"/>
    </w:pPr>
    <w:rPr>
      <w:rFonts w:ascii="宋体" w:hAnsi="宋体"/>
      <w:kern w:val="0"/>
      <w:szCs w:val="24"/>
    </w:rPr>
  </w:style>
  <w:style w:type="paragraph" w:customStyle="1" w:styleId="151">
    <w:name w:val="样式 标题 3 + (中文) 黑体 小四 非加粗 段前: 7.8 磅 段后: 0 磅 行距: 固定值 20 磅 + 行距: 1.5 倍行距"/>
    <w:basedOn w:val="152"/>
    <w:qFormat/>
    <w:uiPriority w:val="0"/>
    <w:pPr>
      <w:spacing w:line="360" w:lineRule="auto"/>
    </w:pPr>
  </w:style>
  <w:style w:type="paragraph" w:customStyle="1" w:styleId="152">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b w:val="0"/>
      <w:bCs w:val="0"/>
      <w:sz w:val="24"/>
      <w:szCs w:val="20"/>
    </w:rPr>
  </w:style>
  <w:style w:type="paragraph" w:customStyle="1" w:styleId="153">
    <w:name w:val="样式 标题 2 + Times New Roman 四号 非加粗 段前: 5 磅 段后: 0 磅 行距: 固定值 20..."/>
    <w:basedOn w:val="4"/>
    <w:qFormat/>
    <w:uiPriority w:val="0"/>
    <w:pPr>
      <w:keepNext/>
      <w:keepLines/>
      <w:adjustRightInd/>
      <w:spacing w:before="100" w:after="0" w:line="400" w:lineRule="exact"/>
      <w:jc w:val="both"/>
      <w:textAlignment w:val="auto"/>
    </w:pPr>
    <w:rPr>
      <w:rFonts w:ascii="Times New Roman" w:hAnsi="Times New Roman" w:cs="宋体"/>
      <w:b w:val="0"/>
      <w:sz w:val="28"/>
    </w:rPr>
  </w:style>
  <w:style w:type="paragraph" w:customStyle="1" w:styleId="154">
    <w:name w:val="xl52"/>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Cs w:val="24"/>
    </w:rPr>
  </w:style>
  <w:style w:type="paragraph" w:customStyle="1" w:styleId="155">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56">
    <w:name w:val="次标题"/>
    <w:basedOn w:val="1"/>
    <w:qFormat/>
    <w:uiPriority w:val="0"/>
    <w:pPr>
      <w:spacing w:before="60" w:after="60" w:line="440" w:lineRule="exact"/>
      <w:textAlignment w:val="center"/>
    </w:pPr>
    <w:rPr>
      <w:rFonts w:ascii="黑体" w:hAnsi="宋体" w:eastAsia="黑体"/>
      <w:bCs/>
      <w:sz w:val="28"/>
      <w:szCs w:val="20"/>
    </w:rPr>
  </w:style>
  <w:style w:type="paragraph" w:customStyle="1" w:styleId="157">
    <w:name w:val="TOC 标题1"/>
    <w:basedOn w:val="3"/>
    <w:next w:val="1"/>
    <w:qFormat/>
    <w:uiPriority w:val="0"/>
    <w:pPr>
      <w:keepNext/>
      <w:keepLines/>
      <w:widowControl/>
      <w:adjustRightInd/>
      <w:spacing w:before="480" w:after="0" w:line="276" w:lineRule="auto"/>
      <w:jc w:val="left"/>
      <w:textAlignment w:val="auto"/>
      <w:outlineLvl w:val="9"/>
    </w:pPr>
    <w:rPr>
      <w:rFonts w:ascii="Cambria" w:hAnsi="Cambria"/>
      <w:bCs/>
      <w:color w:val="365F91"/>
      <w:szCs w:val="28"/>
    </w:rPr>
  </w:style>
  <w:style w:type="paragraph" w:customStyle="1" w:styleId="158">
    <w:name w:val="xl5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159">
    <w:name w:val="样式 港珠澳正文 + 首行缩进:  2 字符 段前: 1 行 段后: 1 行"/>
    <w:basedOn w:val="1"/>
    <w:qFormat/>
    <w:uiPriority w:val="0"/>
    <w:pPr>
      <w:spacing w:line="360" w:lineRule="auto"/>
      <w:ind w:firstLine="200" w:firstLineChars="200"/>
      <w:jc w:val="left"/>
    </w:pPr>
    <w:rPr>
      <w:rFonts w:ascii="@宋体" w:hAnsi="@宋体" w:eastAsia="文鼎大标宋简" w:cs="文鼎大标宋简"/>
      <w:color w:val="000000"/>
      <w:szCs w:val="20"/>
    </w:rPr>
  </w:style>
  <w:style w:type="paragraph" w:customStyle="1" w:styleId="160">
    <w:name w:val="xl6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161">
    <w:name w:val="样式2"/>
    <w:basedOn w:val="1"/>
    <w:qFormat/>
    <w:uiPriority w:val="0"/>
    <w:pPr>
      <w:spacing w:line="360" w:lineRule="auto"/>
      <w:jc w:val="center"/>
    </w:pPr>
    <w:rPr>
      <w:rFonts w:ascii="Times New Roman" w:hAnsi="Times New Roman"/>
      <w:b/>
      <w:bCs/>
      <w:sz w:val="32"/>
      <w:szCs w:val="24"/>
    </w:rPr>
  </w:style>
  <w:style w:type="paragraph" w:customStyle="1" w:styleId="162">
    <w:name w:val="xl71"/>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宋体" w:hAnsi="宋体"/>
      <w:kern w:val="0"/>
      <w:szCs w:val="24"/>
    </w:rPr>
  </w:style>
  <w:style w:type="paragraph" w:customStyle="1" w:styleId="163">
    <w:name w:val="列表段落1"/>
    <w:basedOn w:val="1"/>
    <w:link w:val="352"/>
    <w:qFormat/>
    <w:uiPriority w:val="0"/>
    <w:pPr>
      <w:ind w:firstLine="420" w:firstLineChars="200"/>
    </w:pPr>
  </w:style>
  <w:style w:type="paragraph" w:customStyle="1" w:styleId="164">
    <w:name w:val="样式 标题 2 + Times New Roman 段前: 12 磅"/>
    <w:basedOn w:val="4"/>
    <w:qFormat/>
    <w:uiPriority w:val="0"/>
    <w:pPr>
      <w:keepNext/>
      <w:keepLines/>
      <w:adjustRightInd/>
      <w:snapToGrid w:val="0"/>
      <w:spacing w:before="120" w:after="120" w:line="240" w:lineRule="auto"/>
      <w:jc w:val="both"/>
      <w:textAlignment w:val="auto"/>
    </w:pPr>
    <w:rPr>
      <w:rFonts w:ascii="Tahoma" w:hAnsi="@宋体" w:eastAsia="Tahoma" w:cs="文鼎大标宋简"/>
      <w:bCs/>
      <w:sz w:val="28"/>
      <w:szCs w:val="28"/>
    </w:rPr>
  </w:style>
  <w:style w:type="paragraph" w:customStyle="1" w:styleId="165">
    <w:name w:val="标题 2_0"/>
    <w:basedOn w:val="113"/>
    <w:next w:val="113"/>
    <w:link w:val="404"/>
    <w:qFormat/>
    <w:uiPriority w:val="0"/>
    <w:pPr>
      <w:keepNext/>
      <w:keepLines/>
      <w:spacing w:before="260" w:after="260" w:line="413" w:lineRule="auto"/>
      <w:outlineLvl w:val="1"/>
    </w:pPr>
    <w:rPr>
      <w:rFonts w:ascii="Arial" w:hAnsi="Arial" w:eastAsia="黑体"/>
      <w:b/>
      <w:kern w:val="0"/>
      <w:sz w:val="32"/>
      <w:szCs w:val="20"/>
    </w:rPr>
  </w:style>
  <w:style w:type="paragraph" w:customStyle="1" w:styleId="166">
    <w:name w:val="xl77"/>
    <w:basedOn w:val="1"/>
    <w:qFormat/>
    <w:uiPriority w:val="0"/>
    <w:pPr>
      <w:widowControl/>
      <w:pBdr>
        <w:lef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67">
    <w:name w:val="xl45"/>
    <w:basedOn w:val="1"/>
    <w:qFormat/>
    <w:uiPriority w:val="0"/>
    <w:pPr>
      <w:widowControl/>
      <w:pBdr>
        <w:top w:val="single" w:color="auto" w:sz="4" w:space="0"/>
        <w:bottom w:val="single" w:color="auto" w:sz="4" w:space="0"/>
      </w:pBdr>
      <w:spacing w:before="100" w:beforeAutospacing="1" w:after="100" w:afterAutospacing="1"/>
      <w:jc w:val="left"/>
      <w:textAlignment w:val="top"/>
    </w:pPr>
    <w:rPr>
      <w:rFonts w:ascii="宋体" w:hAnsi="宋体"/>
      <w:kern w:val="0"/>
      <w:szCs w:val="24"/>
    </w:rPr>
  </w:style>
  <w:style w:type="paragraph" w:customStyle="1" w:styleId="168">
    <w:name w:val="样式 标题 3 + 字距调整四号"/>
    <w:basedOn w:val="5"/>
    <w:qFormat/>
    <w:uiPriority w:val="0"/>
    <w:pPr>
      <w:adjustRightInd w:val="0"/>
      <w:snapToGrid w:val="0"/>
      <w:spacing w:beforeLines="50" w:afterLines="50" w:line="240" w:lineRule="auto"/>
    </w:pPr>
    <w:rPr>
      <w:rFonts w:ascii="@宋体" w:hAnsi="@宋体" w:eastAsia="Tahoma" w:cs="@宋体"/>
      <w:b w:val="0"/>
      <w:kern w:val="28"/>
      <w:sz w:val="24"/>
    </w:rPr>
  </w:style>
  <w:style w:type="paragraph" w:customStyle="1" w:styleId="169">
    <w:name w:val="表名A"/>
    <w:basedOn w:val="1"/>
    <w:qFormat/>
    <w:uiPriority w:val="0"/>
    <w:pPr>
      <w:widowControl/>
      <w:tabs>
        <w:tab w:val="left" w:pos="0"/>
      </w:tabs>
      <w:adjustRightInd w:val="0"/>
      <w:snapToGrid w:val="0"/>
      <w:spacing w:beforeLines="80" w:afterLines="20"/>
      <w:jc w:val="center"/>
    </w:pPr>
    <w:rPr>
      <w:rFonts w:ascii="@宋体" w:hAnsi="@宋体" w:eastAsia="文鼎大标宋简" w:cs="@宋体"/>
      <w:b/>
      <w:snapToGrid w:val="0"/>
      <w:kern w:val="0"/>
      <w:szCs w:val="20"/>
    </w:rPr>
  </w:style>
  <w:style w:type="paragraph" w:customStyle="1" w:styleId="170">
    <w:name w:val="xl37"/>
    <w:basedOn w:val="1"/>
    <w:qFormat/>
    <w:uiPriority w:val="0"/>
    <w:pPr>
      <w:widowControl/>
      <w:spacing w:before="100" w:beforeAutospacing="1" w:after="100" w:afterAutospacing="1"/>
      <w:jc w:val="center"/>
    </w:pPr>
    <w:rPr>
      <w:rFonts w:ascii="Times New Roman" w:hAnsi="Times New Roman"/>
      <w:kern w:val="0"/>
      <w:sz w:val="44"/>
      <w:szCs w:val="44"/>
    </w:rPr>
  </w:style>
  <w:style w:type="paragraph" w:customStyle="1" w:styleId="171">
    <w:name w:val="列出段落1"/>
    <w:basedOn w:val="1"/>
    <w:qFormat/>
    <w:uiPriority w:val="0"/>
    <w:pPr>
      <w:ind w:firstLine="420" w:firstLineChars="200"/>
    </w:pPr>
  </w:style>
  <w:style w:type="paragraph" w:customStyle="1" w:styleId="172">
    <w:name w:val="表格5"/>
    <w:basedOn w:val="173"/>
    <w:qFormat/>
    <w:uiPriority w:val="0"/>
    <w:pPr>
      <w:ind w:left="1021" w:hanging="284"/>
    </w:pPr>
    <w:rPr>
      <w:rFonts w:ascii="宋体"/>
    </w:rPr>
  </w:style>
  <w:style w:type="paragraph" w:customStyle="1" w:styleId="173">
    <w:name w:val="表格2"/>
    <w:basedOn w:val="1"/>
    <w:qFormat/>
    <w:uiPriority w:val="0"/>
    <w:pPr>
      <w:adjustRightInd w:val="0"/>
      <w:spacing w:line="420" w:lineRule="atLeast"/>
      <w:ind w:left="284" w:firstLine="454"/>
      <w:textAlignment w:val="baseline"/>
    </w:pPr>
    <w:rPr>
      <w:rFonts w:ascii="Times New Roman" w:hAnsi="Times New Roman"/>
      <w:kern w:val="0"/>
      <w:szCs w:val="20"/>
    </w:rPr>
  </w:style>
  <w:style w:type="paragraph" w:customStyle="1" w:styleId="174">
    <w:name w:val="xl75"/>
    <w:basedOn w:val="1"/>
    <w:qFormat/>
    <w:uiPriority w:val="0"/>
    <w:pPr>
      <w:widowControl/>
      <w:pBdr>
        <w:top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7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176">
    <w:name w:val="样式 标题 3 + (中文) 黑体 小四 非加粗 段前: 7.8 磅 段后: 0 磅 行距: 固定值 20 磅 + 宋体"/>
    <w:basedOn w:val="152"/>
    <w:qFormat/>
    <w:uiPriority w:val="0"/>
    <w:pPr>
      <w:spacing w:line="360" w:lineRule="auto"/>
    </w:pPr>
    <w:rPr>
      <w:rFonts w:ascii="宋体" w:hAnsi="宋体" w:eastAsia="宋体"/>
    </w:rPr>
  </w:style>
  <w:style w:type="paragraph" w:customStyle="1" w:styleId="177">
    <w:name w:val="xl79"/>
    <w:basedOn w:val="1"/>
    <w:qFormat/>
    <w:uiPriority w:val="0"/>
    <w:pPr>
      <w:widowControl/>
      <w:pBdr>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78">
    <w:name w:val="xl3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9">
    <w:name w:val="xl28"/>
    <w:basedOn w:val="1"/>
    <w:qFormat/>
    <w:uiPriority w:val="0"/>
    <w:pPr>
      <w:widowControl/>
      <w:spacing w:before="100" w:beforeAutospacing="1" w:after="100" w:afterAutospacing="1"/>
      <w:jc w:val="center"/>
    </w:pPr>
    <w:rPr>
      <w:rFonts w:ascii="宋体" w:hAnsi="宋体"/>
      <w:kern w:val="0"/>
      <w:sz w:val="44"/>
      <w:szCs w:val="44"/>
    </w:rPr>
  </w:style>
  <w:style w:type="paragraph" w:customStyle="1" w:styleId="180">
    <w:name w:val="样式 标题 2 + Times New Roman 四号 非加粗 段前: 5 磅 段后: 0 磅 行距: 固定值 20..._0"/>
    <w:basedOn w:val="1"/>
    <w:qFormat/>
    <w:uiPriority w:val="0"/>
    <w:pPr>
      <w:keepNext/>
      <w:keepLines/>
      <w:spacing w:before="100" w:line="400" w:lineRule="exact"/>
      <w:outlineLvl w:val="1"/>
    </w:pPr>
    <w:rPr>
      <w:rFonts w:ascii="Times New Roman" w:hAnsi="Times New Roman" w:eastAsia="黑体" w:cs="宋体"/>
      <w:bCs/>
      <w:sz w:val="28"/>
      <w:szCs w:val="20"/>
    </w:rPr>
  </w:style>
  <w:style w:type="paragraph" w:customStyle="1" w:styleId="181">
    <w:name w:val="页眉1"/>
    <w:basedOn w:val="44"/>
    <w:qFormat/>
    <w:uiPriority w:val="0"/>
    <w:pPr>
      <w:pBdr>
        <w:bottom w:val="none" w:color="auto" w:sz="0" w:space="0"/>
      </w:pBdr>
    </w:pPr>
    <w:rPr>
      <w:rFonts w:ascii="Times New Roman" w:hAnsi="Times New Roman"/>
    </w:rPr>
  </w:style>
  <w:style w:type="paragraph" w:customStyle="1" w:styleId="182">
    <w:name w:val="Char111"/>
    <w:basedOn w:val="1"/>
    <w:qFormat/>
    <w:uiPriority w:val="0"/>
  </w:style>
  <w:style w:type="paragraph" w:customStyle="1" w:styleId="183">
    <w:name w:val="Char Char Char Char Char Char Char Char Char Char Char Char Char Char Char Char Char Char1 Char Char Char Char1"/>
    <w:basedOn w:val="1"/>
    <w:qFormat/>
    <w:uiPriority w:val="0"/>
    <w:rPr>
      <w:rFonts w:ascii="Times New Roman" w:hAnsi="Times New Roman"/>
      <w:szCs w:val="24"/>
    </w:rPr>
  </w:style>
  <w:style w:type="paragraph" w:customStyle="1" w:styleId="184">
    <w:name w:val="Char Char Char Char Char Char Char Char Char Char Char Char Char Char Char Char Char Char Char Char Char Char"/>
    <w:basedOn w:val="1"/>
    <w:qFormat/>
    <w:uiPriority w:val="0"/>
    <w:rPr>
      <w:rFonts w:ascii="@宋体" w:hAnsi="@宋体" w:eastAsia="文鼎大标宋简" w:cs="@宋体"/>
      <w:szCs w:val="24"/>
    </w:rPr>
  </w:style>
  <w:style w:type="paragraph" w:customStyle="1" w:styleId="185">
    <w:name w:val="表格内容"/>
    <w:basedOn w:val="1"/>
    <w:link w:val="369"/>
    <w:qFormat/>
    <w:uiPriority w:val="0"/>
    <w:pPr>
      <w:ind w:left="-105" w:leftChars="-50" w:right="-105" w:rightChars="-50"/>
      <w:jc w:val="center"/>
    </w:pPr>
    <w:rPr>
      <w:rFonts w:ascii="文鼎大标宋简" w:hAnsi="文鼎大标宋简" w:eastAsia="文鼎大标宋简" w:cs="文鼎大标宋简"/>
      <w:color w:val="000000"/>
      <w:kern w:val="0"/>
    </w:rPr>
  </w:style>
  <w:style w:type="paragraph" w:customStyle="1" w:styleId="186">
    <w:name w:val="表格"/>
    <w:basedOn w:val="1"/>
    <w:qFormat/>
    <w:uiPriority w:val="0"/>
    <w:pPr>
      <w:jc w:val="center"/>
      <w:textAlignment w:val="center"/>
    </w:pPr>
    <w:rPr>
      <w:rFonts w:ascii="华文细黑" w:hAnsi="华文细黑"/>
      <w:kern w:val="0"/>
      <w:szCs w:val="20"/>
    </w:rPr>
  </w:style>
  <w:style w:type="paragraph" w:customStyle="1" w:styleId="187">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88">
    <w:name w:val="列出段落2"/>
    <w:basedOn w:val="1"/>
    <w:qFormat/>
    <w:uiPriority w:val="0"/>
    <w:pPr>
      <w:ind w:firstLine="420" w:firstLineChars="200"/>
    </w:pPr>
  </w:style>
  <w:style w:type="paragraph" w:customStyle="1" w:styleId="189">
    <w:name w:val="Char2"/>
    <w:basedOn w:val="1"/>
    <w:qFormat/>
    <w:uiPriority w:val="0"/>
    <w:pPr>
      <w:widowControl/>
      <w:spacing w:after="160" w:line="240" w:lineRule="exact"/>
      <w:jc w:val="left"/>
    </w:pPr>
    <w:rPr>
      <w:rFonts w:ascii="Times New Roman" w:hAnsi="Times New Roman"/>
      <w:szCs w:val="20"/>
    </w:rPr>
  </w:style>
  <w:style w:type="paragraph" w:customStyle="1" w:styleId="190">
    <w:name w:val="表"/>
    <w:basedOn w:val="1"/>
    <w:qFormat/>
    <w:uiPriority w:val="0"/>
    <w:pPr>
      <w:adjustRightInd w:val="0"/>
      <w:snapToGrid w:val="0"/>
      <w:spacing w:line="360" w:lineRule="exact"/>
    </w:pPr>
    <w:rPr>
      <w:rFonts w:ascii="@宋体" w:hAnsi="@宋体" w:eastAsia="文鼎大标宋简" w:cs="@宋体"/>
      <w:szCs w:val="20"/>
    </w:rPr>
  </w:style>
  <w:style w:type="paragraph" w:customStyle="1" w:styleId="191">
    <w:name w:val="Char Char Char Char Char Char Char Char Char Char_0"/>
    <w:basedOn w:val="1"/>
    <w:next w:val="1"/>
    <w:qFormat/>
    <w:uiPriority w:val="0"/>
    <w:rPr>
      <w:rFonts w:ascii="Times New Roman" w:hAnsi="Times New Roman" w:eastAsia="黑体"/>
      <w:sz w:val="28"/>
      <w:szCs w:val="20"/>
    </w:rPr>
  </w:style>
  <w:style w:type="paragraph" w:customStyle="1" w:styleId="192">
    <w:name w:val="正文 New"/>
    <w:qFormat/>
    <w:uiPriority w:val="0"/>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3">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94">
    <w:name w:val="正文文本缩进_0"/>
    <w:basedOn w:val="113"/>
    <w:link w:val="350"/>
    <w:qFormat/>
    <w:uiPriority w:val="0"/>
    <w:pPr>
      <w:spacing w:after="120"/>
      <w:ind w:left="420"/>
    </w:pPr>
    <w:rPr>
      <w:kern w:val="0"/>
      <w:sz w:val="20"/>
      <w:szCs w:val="24"/>
    </w:rPr>
  </w:style>
  <w:style w:type="paragraph" w:customStyle="1" w:styleId="195">
    <w:name w:val="xl2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96">
    <w:name w:val="xl76"/>
    <w:basedOn w:val="1"/>
    <w:qFormat/>
    <w:uiPriority w:val="0"/>
    <w:pPr>
      <w:widowControl/>
      <w:pBdr>
        <w:top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97">
    <w:name w:val="样式 Body1! + 首行缩进:  2 字符"/>
    <w:basedOn w:val="1"/>
    <w:qFormat/>
    <w:uiPriority w:val="0"/>
    <w:pPr>
      <w:widowControl/>
      <w:tabs>
        <w:tab w:val="left" w:pos="1247"/>
      </w:tabs>
      <w:spacing w:before="120" w:line="288" w:lineRule="auto"/>
      <w:ind w:left="1247" w:firstLine="420" w:firstLineChars="200"/>
    </w:pPr>
    <w:rPr>
      <w:rFonts w:ascii="Arial" w:hAnsi="Arial" w:cs="宋体"/>
      <w:kern w:val="0"/>
      <w:szCs w:val="20"/>
      <w:lang w:eastAsia="en-US"/>
    </w:rPr>
  </w:style>
  <w:style w:type="paragraph" w:customStyle="1" w:styleId="198">
    <w:name w:val="Char1"/>
    <w:basedOn w:val="1"/>
    <w:qFormat/>
    <w:uiPriority w:val="0"/>
    <w:rPr>
      <w:rFonts w:ascii="Times New Roman" w:hAnsi="Times New Roman"/>
      <w:szCs w:val="24"/>
    </w:rPr>
  </w:style>
  <w:style w:type="paragraph" w:customStyle="1" w:styleId="199">
    <w:name w:val="表格6"/>
    <w:basedOn w:val="172"/>
    <w:qFormat/>
    <w:uiPriority w:val="0"/>
    <w:pPr>
      <w:ind w:left="737" w:firstLine="0"/>
    </w:pPr>
  </w:style>
  <w:style w:type="paragraph" w:customStyle="1" w:styleId="200">
    <w:name w:val="2"/>
    <w:basedOn w:val="1"/>
    <w:qFormat/>
    <w:uiPriority w:val="0"/>
    <w:pPr>
      <w:adjustRightInd w:val="0"/>
      <w:spacing w:line="420" w:lineRule="atLeast"/>
      <w:ind w:left="1134" w:hanging="227"/>
      <w:textAlignment w:val="baseline"/>
    </w:pPr>
    <w:rPr>
      <w:rFonts w:ascii="Times New Roman" w:hAnsi="Times New Roman"/>
      <w:kern w:val="0"/>
      <w:szCs w:val="20"/>
    </w:rPr>
  </w:style>
  <w:style w:type="paragraph" w:customStyle="1" w:styleId="201">
    <w:name w:val="xl4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0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3">
    <w:name w:val="xl66"/>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204">
    <w:name w:val="小节"/>
    <w:basedOn w:val="96"/>
    <w:qFormat/>
    <w:uiPriority w:val="0"/>
  </w:style>
  <w:style w:type="paragraph" w:customStyle="1" w:styleId="205">
    <w:name w:val="xl6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06">
    <w:name w:val="6'"/>
    <w:basedOn w:val="1"/>
    <w:qFormat/>
    <w:uiPriority w:val="0"/>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207">
    <w:name w:val="样式6"/>
    <w:basedOn w:val="163"/>
    <w:qFormat/>
    <w:uiPriority w:val="0"/>
    <w:pPr>
      <w:tabs>
        <w:tab w:val="left" w:pos="1525"/>
      </w:tabs>
      <w:adjustRightInd w:val="0"/>
      <w:snapToGrid w:val="0"/>
      <w:spacing w:line="360" w:lineRule="auto"/>
      <w:ind w:left="1525" w:firstLine="0" w:firstLineChars="0"/>
    </w:pPr>
    <w:rPr>
      <w:rFonts w:ascii="Times New Roman" w:hAnsi="Times New Roman"/>
    </w:rPr>
  </w:style>
  <w:style w:type="paragraph" w:customStyle="1" w:styleId="208">
    <w:name w:val="font7"/>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09">
    <w:name w:val="xl85"/>
    <w:basedOn w:val="1"/>
    <w:qFormat/>
    <w:uiPriority w:val="0"/>
    <w:pPr>
      <w:widowControl/>
      <w:pBdr>
        <w:top w:val="single" w:color="auto" w:sz="4" w:space="0"/>
      </w:pBdr>
      <w:spacing w:before="100" w:beforeAutospacing="1" w:after="100" w:afterAutospacing="1"/>
      <w:jc w:val="center"/>
      <w:textAlignment w:val="center"/>
    </w:pPr>
    <w:rPr>
      <w:rFonts w:ascii="宋体" w:hAnsi="宋体"/>
      <w:kern w:val="0"/>
      <w:szCs w:val="24"/>
    </w:rPr>
  </w:style>
  <w:style w:type="paragraph" w:customStyle="1" w:styleId="210">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211">
    <w:name w:val="表格4"/>
    <w:basedOn w:val="1"/>
    <w:qFormat/>
    <w:uiPriority w:val="0"/>
    <w:pPr>
      <w:adjustRightInd w:val="0"/>
      <w:spacing w:line="420" w:lineRule="atLeast"/>
      <w:ind w:left="1021"/>
      <w:textAlignment w:val="baseline"/>
    </w:pPr>
    <w:rPr>
      <w:rFonts w:ascii="Times New Roman" w:hAnsi="Times New Roman"/>
      <w:kern w:val="0"/>
      <w:szCs w:val="20"/>
    </w:rPr>
  </w:style>
  <w:style w:type="paragraph" w:customStyle="1" w:styleId="212">
    <w:name w:val="xl69"/>
    <w:basedOn w:val="1"/>
    <w:qFormat/>
    <w:uiPriority w:val="0"/>
    <w:pPr>
      <w:widowControl/>
      <w:pBdr>
        <w:top w:val="single" w:color="auto" w:sz="4" w:space="0"/>
      </w:pBdr>
      <w:spacing w:before="100" w:beforeAutospacing="1" w:after="100" w:afterAutospacing="1"/>
      <w:jc w:val="left"/>
      <w:textAlignment w:val="center"/>
    </w:pPr>
    <w:rPr>
      <w:rFonts w:ascii="宋体" w:hAnsi="宋体"/>
      <w:kern w:val="0"/>
      <w:szCs w:val="24"/>
    </w:rPr>
  </w:style>
  <w:style w:type="paragraph" w:customStyle="1" w:styleId="213">
    <w:name w:val="样式 (符号) Times New Roman 小四 非加粗 行距: 1.5 倍行距"/>
    <w:basedOn w:val="1"/>
    <w:next w:val="30"/>
    <w:qFormat/>
    <w:uiPriority w:val="0"/>
    <w:pPr>
      <w:spacing w:line="360" w:lineRule="auto"/>
      <w:ind w:firstLine="480" w:firstLineChars="200"/>
    </w:pPr>
    <w:rPr>
      <w:rFonts w:ascii="楷体_GB2312" w:hAnsi="Times New Roman" w:eastAsia="楷体_GB2312"/>
      <w:szCs w:val="20"/>
    </w:rPr>
  </w:style>
  <w:style w:type="paragraph" w:customStyle="1" w:styleId="214">
    <w:name w:val="正文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5">
    <w:name w:val="Char_0"/>
    <w:basedOn w:val="1"/>
    <w:qFormat/>
    <w:uiPriority w:val="0"/>
    <w:pPr>
      <w:widowControl/>
      <w:spacing w:after="160" w:line="240" w:lineRule="exact"/>
      <w:jc w:val="left"/>
    </w:pPr>
    <w:rPr>
      <w:rFonts w:ascii="Times New Roman" w:hAnsi="Times New Roman"/>
      <w:szCs w:val="20"/>
    </w:rPr>
  </w:style>
  <w:style w:type="paragraph" w:customStyle="1" w:styleId="21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kern w:val="0"/>
      <w:szCs w:val="24"/>
    </w:rPr>
  </w:style>
  <w:style w:type="paragraph" w:customStyle="1" w:styleId="217">
    <w:name w:val="图例"/>
    <w:basedOn w:val="1"/>
    <w:qFormat/>
    <w:uiPriority w:val="0"/>
    <w:pPr>
      <w:jc w:val="center"/>
    </w:pPr>
    <w:rPr>
      <w:rFonts w:ascii="@宋体" w:hAnsi="@宋体" w:eastAsia="Tahoma" w:cs="@宋体"/>
      <w:szCs w:val="24"/>
    </w:rPr>
  </w:style>
  <w:style w:type="paragraph" w:customStyle="1" w:styleId="2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1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20">
    <w:name w:val="正文A"/>
    <w:qFormat/>
    <w:uiPriority w:val="0"/>
    <w:pPr>
      <w:widowControl w:val="0"/>
      <w:tabs>
        <w:tab w:val="left" w:pos="0"/>
      </w:tabs>
      <w:adjustRightInd w:val="0"/>
      <w:spacing w:line="360" w:lineRule="auto"/>
      <w:ind w:firstLine="200" w:firstLineChars="200"/>
      <w:jc w:val="both"/>
      <w:textAlignment w:val="baseline"/>
    </w:pPr>
    <w:rPr>
      <w:rFonts w:ascii="@宋体" w:hAnsi="@宋体" w:eastAsia="文鼎大标宋简" w:cs="@宋体"/>
      <w:snapToGrid w:val="0"/>
      <w:sz w:val="24"/>
      <w:lang w:val="en-US" w:eastAsia="zh-CN" w:bidi="ar-SA"/>
    </w:rPr>
  </w:style>
  <w:style w:type="paragraph" w:customStyle="1" w:styleId="221">
    <w:name w:val="font10"/>
    <w:basedOn w:val="1"/>
    <w:qFormat/>
    <w:uiPriority w:val="0"/>
    <w:pPr>
      <w:widowControl/>
      <w:spacing w:before="100" w:beforeAutospacing="1" w:after="100" w:afterAutospacing="1"/>
      <w:jc w:val="left"/>
    </w:pPr>
    <w:rPr>
      <w:rFonts w:ascii="Times New Roman" w:hAnsi="Times New Roman"/>
      <w:kern w:val="0"/>
      <w:sz w:val="20"/>
      <w:szCs w:val="20"/>
    </w:rPr>
  </w:style>
  <w:style w:type="paragraph" w:customStyle="1" w:styleId="22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23">
    <w:name w:val="修订1"/>
    <w:qFormat/>
    <w:uiPriority w:val="0"/>
    <w:rPr>
      <w:rFonts w:ascii="Times New Roman" w:hAnsi="Times New Roman" w:eastAsia="宋体" w:cs="Times New Roman"/>
      <w:kern w:val="2"/>
      <w:sz w:val="21"/>
      <w:szCs w:val="24"/>
      <w:lang w:val="en-US" w:eastAsia="zh-CN" w:bidi="ar-SA"/>
    </w:rPr>
  </w:style>
  <w:style w:type="paragraph" w:customStyle="1" w:styleId="224">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宋体" w:hAnsi="宋体"/>
      <w:kern w:val="0"/>
      <w:sz w:val="20"/>
      <w:szCs w:val="20"/>
    </w:rPr>
  </w:style>
  <w:style w:type="paragraph" w:customStyle="1" w:styleId="225">
    <w:name w:val="标题 7_0"/>
    <w:basedOn w:val="94"/>
    <w:next w:val="94"/>
    <w:link w:val="371"/>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rPr>
  </w:style>
  <w:style w:type="paragraph" w:customStyle="1" w:styleId="226">
    <w:name w:val="xl60"/>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27">
    <w:name w:val="xl3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28">
    <w:name w:val="Char211"/>
    <w:basedOn w:val="1"/>
    <w:qFormat/>
    <w:uiPriority w:val="0"/>
    <w:pPr>
      <w:widowControl/>
      <w:spacing w:after="160" w:line="240" w:lineRule="exact"/>
      <w:jc w:val="left"/>
    </w:pPr>
    <w:rPr>
      <w:rFonts w:ascii="Times New Roman" w:hAnsi="Times New Roman"/>
      <w:szCs w:val="20"/>
    </w:rPr>
  </w:style>
  <w:style w:type="paragraph" w:customStyle="1" w:styleId="229">
    <w:name w:val="xl73"/>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ascii="宋体" w:hAnsi="宋体"/>
      <w:kern w:val="0"/>
      <w:szCs w:val="24"/>
    </w:rPr>
  </w:style>
  <w:style w:type="paragraph" w:customStyle="1" w:styleId="230">
    <w:name w:val="xl65"/>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31">
    <w:name w:val="三级标题"/>
    <w:basedOn w:val="232"/>
    <w:qFormat/>
    <w:uiPriority w:val="0"/>
    <w:pPr>
      <w:spacing w:beforeLines="50" w:afterLines="50"/>
    </w:pPr>
    <w:rPr>
      <w:sz w:val="24"/>
    </w:rPr>
  </w:style>
  <w:style w:type="paragraph" w:customStyle="1" w:styleId="232">
    <w:name w:val="二级标题"/>
    <w:basedOn w:val="233"/>
    <w:qFormat/>
    <w:uiPriority w:val="0"/>
    <w:pPr>
      <w:spacing w:beforeLines="100" w:afterLines="100"/>
    </w:pPr>
    <w:rPr>
      <w:b/>
      <w:sz w:val="28"/>
    </w:rPr>
  </w:style>
  <w:style w:type="paragraph" w:customStyle="1" w:styleId="233">
    <w:name w:val="一级标题"/>
    <w:basedOn w:val="3"/>
    <w:next w:val="1"/>
    <w:qFormat/>
    <w:uiPriority w:val="0"/>
    <w:pPr>
      <w:keepNext/>
      <w:keepLines/>
      <w:snapToGrid w:val="0"/>
      <w:spacing w:before="0" w:afterLines="200" w:line="240" w:lineRule="auto"/>
      <w:jc w:val="both"/>
      <w:textAlignment w:val="auto"/>
    </w:pPr>
    <w:rPr>
      <w:rFonts w:ascii="@宋体" w:hAnsi="@宋体" w:eastAsia="Tahoma" w:cs="@宋体"/>
      <w:b w:val="0"/>
      <w:bCs/>
      <w:sz w:val="32"/>
      <w:szCs w:val="44"/>
    </w:rPr>
  </w:style>
  <w:style w:type="paragraph" w:customStyle="1" w:styleId="234">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235">
    <w:name w:val="表内容"/>
    <w:basedOn w:val="1"/>
    <w:qFormat/>
    <w:uiPriority w:val="0"/>
    <w:pPr>
      <w:jc w:val="center"/>
    </w:pPr>
    <w:rPr>
      <w:rFonts w:ascii="宋体" w:hAnsi="Times New Roman"/>
      <w:szCs w:val="20"/>
    </w:rPr>
  </w:style>
  <w:style w:type="paragraph" w:customStyle="1" w:styleId="236">
    <w:name w:val="标题3-1"/>
    <w:basedOn w:val="5"/>
    <w:qFormat/>
    <w:uiPriority w:val="0"/>
    <w:pPr>
      <w:spacing w:before="0" w:afterLines="50" w:line="440" w:lineRule="exact"/>
      <w:jc w:val="center"/>
    </w:pPr>
    <w:rPr>
      <w:rFonts w:ascii="宋体" w:hAnsi="宋体" w:eastAsia="黑体"/>
      <w:kern w:val="0"/>
      <w:szCs w:val="28"/>
    </w:rPr>
  </w:style>
  <w:style w:type="paragraph" w:customStyle="1" w:styleId="237">
    <w:name w:val="Char Char Char Char Char Char Char Char Char Char11"/>
    <w:basedOn w:val="1"/>
    <w:next w:val="1"/>
    <w:qFormat/>
    <w:uiPriority w:val="0"/>
    <w:rPr>
      <w:rFonts w:ascii="Times New Roman" w:hAnsi="Times New Roman" w:eastAsia="黑体"/>
      <w:sz w:val="28"/>
      <w:szCs w:val="24"/>
    </w:rPr>
  </w:style>
  <w:style w:type="paragraph" w:customStyle="1" w:styleId="238">
    <w:name w:val="_Style 38"/>
    <w:basedOn w:val="1"/>
    <w:qFormat/>
    <w:uiPriority w:val="0"/>
    <w:rPr>
      <w:rFonts w:ascii="Tahoma" w:hAnsi="Tahoma"/>
      <w:szCs w:val="20"/>
    </w:rPr>
  </w:style>
  <w:style w:type="paragraph" w:customStyle="1" w:styleId="239">
    <w:name w:val="样式 标题 4"/>
    <w:basedOn w:val="6"/>
    <w:qFormat/>
    <w:uiPriority w:val="0"/>
    <w:pPr>
      <w:spacing w:before="0" w:afterLines="50" w:line="400" w:lineRule="exact"/>
      <w:ind w:firstLine="562"/>
      <w:jc w:val="left"/>
    </w:pPr>
    <w:rPr>
      <w:rFonts w:ascii="黑体" w:hAnsi="宋体" w:cs="宋体"/>
      <w:b w:val="0"/>
      <w:color w:val="FF0000"/>
      <w:kern w:val="0"/>
      <w:sz w:val="24"/>
      <w:szCs w:val="20"/>
    </w:rPr>
  </w:style>
  <w:style w:type="paragraph" w:customStyle="1" w:styleId="240">
    <w:name w:val="Char Char Char Char Char Char Char Char Char Char Char Char Char Char Char Char Char Char1 Char Char Char Char2"/>
    <w:basedOn w:val="1"/>
    <w:qFormat/>
    <w:uiPriority w:val="0"/>
    <w:rPr>
      <w:rFonts w:ascii="Times New Roman" w:hAnsi="Times New Roman"/>
      <w:szCs w:val="24"/>
    </w:rPr>
  </w:style>
  <w:style w:type="paragraph" w:customStyle="1" w:styleId="241">
    <w:name w:val="资审正文_0"/>
    <w:basedOn w:val="113"/>
    <w:link w:val="344"/>
    <w:qFormat/>
    <w:uiPriority w:val="0"/>
    <w:pPr>
      <w:spacing w:before="31" w:after="31" w:line="460" w:lineRule="exact"/>
      <w:ind w:firstLine="520"/>
    </w:pPr>
    <w:rPr>
      <w:rFonts w:ascii="华文细黑" w:hAnsi="华文细黑"/>
      <w:kern w:val="0"/>
      <w:sz w:val="26"/>
      <w:szCs w:val="26"/>
    </w:rPr>
  </w:style>
  <w:style w:type="paragraph" w:customStyle="1" w:styleId="242">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4"/>
    </w:rPr>
  </w:style>
  <w:style w:type="paragraph" w:customStyle="1" w:styleId="243">
    <w:name w:val="xl49"/>
    <w:basedOn w:val="1"/>
    <w:qFormat/>
    <w:uiPriority w:val="0"/>
    <w:pPr>
      <w:widowControl/>
      <w:pBdr>
        <w:top w:val="single" w:color="auto" w:sz="4" w:space="0"/>
        <w:left w:val="single" w:color="auto" w:sz="4" w:space="0"/>
      </w:pBdr>
      <w:spacing w:before="100" w:beforeAutospacing="1" w:after="100" w:afterAutospacing="1"/>
      <w:jc w:val="left"/>
      <w:textAlignment w:val="top"/>
    </w:pPr>
    <w:rPr>
      <w:rFonts w:ascii="宋体" w:hAnsi="宋体"/>
      <w:kern w:val="0"/>
      <w:sz w:val="20"/>
      <w:szCs w:val="20"/>
    </w:rPr>
  </w:style>
  <w:style w:type="paragraph" w:customStyle="1" w:styleId="244">
    <w:name w:val="标题B"/>
    <w:qFormat/>
    <w:uiPriority w:val="0"/>
    <w:pPr>
      <w:adjustRightInd w:val="0"/>
      <w:spacing w:line="720" w:lineRule="auto"/>
      <w:outlineLvl w:val="1"/>
    </w:pPr>
    <w:rPr>
      <w:rFonts w:ascii="@宋体" w:hAnsi="@宋体" w:eastAsia="文鼎大标宋简" w:cs="@宋体"/>
      <w:b/>
      <w:sz w:val="30"/>
      <w:lang w:val="en-US" w:eastAsia="zh-CN" w:bidi="ar-SA"/>
    </w:rPr>
  </w:style>
  <w:style w:type="paragraph" w:customStyle="1" w:styleId="245">
    <w:name w:val="标题4"/>
    <w:basedOn w:val="5"/>
    <w:qFormat/>
    <w:uiPriority w:val="0"/>
    <w:pPr>
      <w:spacing w:before="0" w:afterLines="50" w:line="240" w:lineRule="auto"/>
      <w:jc w:val="center"/>
    </w:pPr>
    <w:rPr>
      <w:rFonts w:ascii="宋体" w:hAnsi="宋体" w:eastAsia="黑体"/>
      <w:kern w:val="0"/>
      <w:sz w:val="24"/>
    </w:rPr>
  </w:style>
  <w:style w:type="paragraph" w:customStyle="1" w:styleId="246">
    <w:name w:val="正文内容"/>
    <w:basedOn w:val="1"/>
    <w:qFormat/>
    <w:uiPriority w:val="0"/>
    <w:pPr>
      <w:spacing w:line="600" w:lineRule="exact"/>
      <w:ind w:firstLine="580"/>
    </w:pPr>
    <w:rPr>
      <w:rFonts w:ascii="Times New Roman" w:hAnsi="Times New Roman" w:eastAsia="仿宋_GB2312"/>
      <w:sz w:val="28"/>
      <w:szCs w:val="20"/>
    </w:rPr>
  </w:style>
  <w:style w:type="paragraph" w:customStyle="1" w:styleId="247">
    <w:name w:val="xl70"/>
    <w:basedOn w:val="1"/>
    <w:qFormat/>
    <w:uiPriority w:val="0"/>
    <w:pPr>
      <w:widowControl/>
      <w:pBdr>
        <w:top w:val="single" w:color="auto" w:sz="4" w:space="0"/>
        <w:right w:val="single" w:color="auto" w:sz="4" w:space="0"/>
      </w:pBdr>
      <w:spacing w:before="100" w:beforeAutospacing="1" w:after="100" w:afterAutospacing="1"/>
      <w:jc w:val="left"/>
      <w:textAlignment w:val="center"/>
    </w:pPr>
    <w:rPr>
      <w:rFonts w:ascii="宋体" w:hAnsi="宋体"/>
      <w:kern w:val="0"/>
      <w:szCs w:val="24"/>
    </w:rPr>
  </w:style>
  <w:style w:type="paragraph" w:customStyle="1" w:styleId="248">
    <w:name w:val="Char21"/>
    <w:basedOn w:val="1"/>
    <w:qFormat/>
    <w:uiPriority w:val="0"/>
    <w:pPr>
      <w:widowControl/>
      <w:spacing w:after="160" w:line="240" w:lineRule="exact"/>
      <w:jc w:val="left"/>
    </w:pPr>
    <w:rPr>
      <w:rFonts w:ascii="Times New Roman" w:hAnsi="Times New Roman"/>
      <w:szCs w:val="20"/>
    </w:rPr>
  </w:style>
  <w:style w:type="paragraph" w:customStyle="1" w:styleId="249">
    <w:name w:val="样式 标题 4 + 字距调整四号"/>
    <w:basedOn w:val="6"/>
    <w:qFormat/>
    <w:uiPriority w:val="0"/>
    <w:pPr>
      <w:adjustRightInd w:val="0"/>
      <w:snapToGrid w:val="0"/>
      <w:spacing w:beforeLines="50" w:afterLines="50" w:line="240" w:lineRule="auto"/>
    </w:pPr>
    <w:rPr>
      <w:rFonts w:ascii="Arial Unicode MS" w:hAnsi="Arial Unicode MS" w:eastAsia="Tahoma" w:cs="文鼎大标宋简"/>
      <w:kern w:val="28"/>
      <w:sz w:val="21"/>
      <w:szCs w:val="20"/>
    </w:rPr>
  </w:style>
  <w:style w:type="paragraph" w:customStyle="1" w:styleId="250">
    <w:name w:val="xl78"/>
    <w:basedOn w:val="1"/>
    <w:qFormat/>
    <w:uiPriority w:val="0"/>
    <w:pPr>
      <w:widowControl/>
      <w:spacing w:before="100" w:beforeAutospacing="1" w:after="100" w:afterAutospacing="1"/>
      <w:jc w:val="left"/>
      <w:textAlignment w:val="center"/>
    </w:pPr>
    <w:rPr>
      <w:rFonts w:ascii="宋体" w:hAnsi="宋体"/>
      <w:kern w:val="0"/>
      <w:sz w:val="20"/>
      <w:szCs w:val="20"/>
    </w:rPr>
  </w:style>
  <w:style w:type="paragraph" w:customStyle="1" w:styleId="251">
    <w:name w:val="标题C"/>
    <w:qFormat/>
    <w:uiPriority w:val="0"/>
    <w:pPr>
      <w:tabs>
        <w:tab w:val="left" w:pos="0"/>
      </w:tabs>
      <w:adjustRightInd w:val="0"/>
      <w:spacing w:line="600" w:lineRule="auto"/>
      <w:outlineLvl w:val="2"/>
    </w:pPr>
    <w:rPr>
      <w:rFonts w:ascii="@宋体" w:hAnsi="@宋体" w:eastAsia="文鼎大标宋简" w:cs="Arial"/>
      <w:b/>
      <w:snapToGrid w:val="0"/>
      <w:sz w:val="28"/>
      <w:lang w:val="en-US" w:eastAsia="zh-CN" w:bidi="ar-SA"/>
    </w:rPr>
  </w:style>
  <w:style w:type="paragraph" w:customStyle="1" w:styleId="252">
    <w:name w:val="表格方字"/>
    <w:basedOn w:val="1"/>
    <w:qFormat/>
    <w:uiPriority w:val="0"/>
    <w:pPr>
      <w:adjustRightInd w:val="0"/>
      <w:spacing w:before="60" w:after="60" w:line="420" w:lineRule="atLeast"/>
      <w:jc w:val="left"/>
      <w:textAlignment w:val="baseline"/>
    </w:pPr>
    <w:rPr>
      <w:rFonts w:ascii="Times New Roman" w:hAnsi="Times New Roman"/>
      <w:kern w:val="0"/>
      <w:szCs w:val="20"/>
    </w:rPr>
  </w:style>
  <w:style w:type="paragraph" w:customStyle="1" w:styleId="253">
    <w:name w:val="普通文字"/>
    <w:basedOn w:val="1"/>
    <w:next w:val="1"/>
    <w:qFormat/>
    <w:uiPriority w:val="0"/>
    <w:rPr>
      <w:rFonts w:ascii="宋体" w:hAnsi="Courier New"/>
    </w:rPr>
  </w:style>
  <w:style w:type="paragraph" w:customStyle="1" w:styleId="254">
    <w:name w:val="xl63"/>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255">
    <w:name w:val="xl54"/>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kern w:val="0"/>
      <w:szCs w:val="24"/>
    </w:rPr>
  </w:style>
  <w:style w:type="paragraph" w:customStyle="1" w:styleId="256">
    <w:name w:val="样式 标题 1 + 黑体 三号 非加粗 居中 段前: 6 磅 段后: 6 磅 行距: 固定值 20 磅"/>
    <w:basedOn w:val="3"/>
    <w:qFormat/>
    <w:uiPriority w:val="0"/>
    <w:pPr>
      <w:keepNext/>
      <w:keepLines/>
      <w:adjustRightInd/>
      <w:spacing w:before="120" w:after="120" w:line="400" w:lineRule="exact"/>
      <w:textAlignment w:val="auto"/>
    </w:pPr>
    <w:rPr>
      <w:rFonts w:ascii="黑体" w:hAnsi="黑体" w:eastAsia="黑体" w:cs="宋体"/>
      <w:b w:val="0"/>
      <w:kern w:val="44"/>
      <w:sz w:val="32"/>
    </w:rPr>
  </w:style>
  <w:style w:type="paragraph" w:customStyle="1" w:styleId="257">
    <w:name w:val="港珠澳表格"/>
    <w:basedOn w:val="1"/>
    <w:qFormat/>
    <w:uiPriority w:val="0"/>
    <w:pPr>
      <w:spacing w:beforeLines="100" w:after="60"/>
      <w:jc w:val="center"/>
    </w:pPr>
    <w:rPr>
      <w:rFonts w:ascii="@宋体" w:hAnsi="@宋体" w:eastAsia="文鼎大标宋简" w:cs="@宋体"/>
      <w:szCs w:val="24"/>
    </w:rPr>
  </w:style>
  <w:style w:type="paragraph" w:customStyle="1" w:styleId="258">
    <w:name w:val="xl5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kern w:val="0"/>
      <w:szCs w:val="24"/>
    </w:rPr>
  </w:style>
  <w:style w:type="paragraph" w:customStyle="1" w:styleId="259">
    <w:name w:val="正文 宋体 小四 行距: 1.5 倍行距"/>
    <w:basedOn w:val="1"/>
    <w:qFormat/>
    <w:uiPriority w:val="0"/>
    <w:pPr>
      <w:spacing w:line="360" w:lineRule="auto"/>
      <w:ind w:firstLine="480" w:firstLineChars="200"/>
    </w:pPr>
    <w:rPr>
      <w:rFonts w:ascii="文鼎大标宋简" w:hAnsi="文鼎大标宋简" w:eastAsia="文鼎大标宋简" w:cs="文鼎大标宋简"/>
      <w:szCs w:val="20"/>
    </w:rPr>
  </w:style>
  <w:style w:type="paragraph" w:customStyle="1" w:styleId="260">
    <w:name w:val="正文段落"/>
    <w:basedOn w:val="1"/>
    <w:qFormat/>
    <w:uiPriority w:val="0"/>
    <w:pPr>
      <w:autoSpaceDE w:val="0"/>
      <w:autoSpaceDN w:val="0"/>
      <w:adjustRightInd w:val="0"/>
      <w:spacing w:line="480" w:lineRule="exact"/>
      <w:ind w:firstLine="200" w:firstLineChars="200"/>
      <w:textAlignment w:val="baseline"/>
    </w:pPr>
    <w:rPr>
      <w:rFonts w:ascii="Garamond" w:hAnsi="@宋体" w:eastAsia="宋体-18030" w:cs="@宋体"/>
      <w:kern w:val="0"/>
      <w:szCs w:val="20"/>
    </w:rPr>
  </w:style>
  <w:style w:type="paragraph" w:customStyle="1" w:styleId="261">
    <w:name w:val="默认段落字体 Para Char"/>
    <w:basedOn w:val="1"/>
    <w:next w:val="1"/>
    <w:qFormat/>
    <w:uiPriority w:val="0"/>
    <w:rPr>
      <w:rFonts w:ascii="Times New Roman" w:hAnsi="Times New Roman"/>
      <w:szCs w:val="24"/>
    </w:rPr>
  </w:style>
  <w:style w:type="paragraph" w:customStyle="1" w:styleId="262">
    <w:name w:val="资审正文"/>
    <w:basedOn w:val="1"/>
    <w:qFormat/>
    <w:uiPriority w:val="0"/>
    <w:pPr>
      <w:spacing w:beforeLines="10" w:afterLines="10" w:line="460" w:lineRule="exact"/>
      <w:ind w:firstLine="520" w:firstLineChars="200"/>
    </w:pPr>
    <w:rPr>
      <w:rFonts w:ascii="华文细黑" w:hAnsi="华文细黑"/>
      <w:sz w:val="26"/>
      <w:szCs w:val="26"/>
    </w:rPr>
  </w:style>
  <w:style w:type="paragraph" w:customStyle="1" w:styleId="263">
    <w:name w:val="Char Char Char Char Char Char Char Char Char Char1"/>
    <w:basedOn w:val="1"/>
    <w:next w:val="1"/>
    <w:qFormat/>
    <w:uiPriority w:val="0"/>
    <w:rPr>
      <w:rFonts w:ascii="Times New Roman" w:hAnsi="Times New Roman" w:eastAsia="黑体"/>
      <w:sz w:val="28"/>
      <w:szCs w:val="24"/>
    </w:rPr>
  </w:style>
  <w:style w:type="paragraph" w:customStyle="1" w:styleId="264">
    <w:name w:val="表文C"/>
    <w:basedOn w:val="1"/>
    <w:qFormat/>
    <w:uiPriority w:val="0"/>
    <w:pPr>
      <w:widowControl/>
      <w:tabs>
        <w:tab w:val="left" w:pos="0"/>
      </w:tabs>
      <w:adjustRightInd w:val="0"/>
      <w:snapToGrid w:val="0"/>
      <w:jc w:val="center"/>
    </w:pPr>
    <w:rPr>
      <w:rFonts w:ascii="@宋体" w:hAnsi="@宋体" w:eastAsia="文鼎大标宋简" w:cs="@宋体"/>
      <w:snapToGrid w:val="0"/>
      <w:kern w:val="0"/>
      <w:szCs w:val="20"/>
    </w:rPr>
  </w:style>
  <w:style w:type="paragraph" w:customStyle="1" w:styleId="265">
    <w:name w:val="xl4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Cs w:val="24"/>
    </w:rPr>
  </w:style>
  <w:style w:type="paragraph" w:customStyle="1" w:styleId="266">
    <w:name w:val="列出段落21"/>
    <w:basedOn w:val="1"/>
    <w:qFormat/>
    <w:uiPriority w:val="0"/>
    <w:pPr>
      <w:ind w:firstLine="420" w:firstLineChars="200"/>
    </w:pPr>
  </w:style>
  <w:style w:type="paragraph" w:customStyle="1" w:styleId="267">
    <w:name w:val="表格1"/>
    <w:basedOn w:val="1"/>
    <w:qFormat/>
    <w:uiPriority w:val="0"/>
    <w:pPr>
      <w:adjustRightInd w:val="0"/>
      <w:spacing w:line="420" w:lineRule="atLeast"/>
      <w:ind w:left="284"/>
      <w:textAlignment w:val="baseline"/>
    </w:pPr>
    <w:rPr>
      <w:rFonts w:ascii="Times New Roman" w:hAnsi="Times New Roman"/>
      <w:kern w:val="0"/>
      <w:szCs w:val="20"/>
    </w:rPr>
  </w:style>
  <w:style w:type="paragraph" w:customStyle="1" w:styleId="268">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269">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0">
    <w:name w:val="Char11"/>
    <w:basedOn w:val="1"/>
    <w:qFormat/>
    <w:uiPriority w:val="0"/>
    <w:rPr>
      <w:rFonts w:ascii="Times New Roman" w:hAnsi="Times New Roman"/>
      <w:szCs w:val="24"/>
    </w:rPr>
  </w:style>
  <w:style w:type="paragraph" w:customStyle="1" w:styleId="271">
    <w:name w:val="标题2"/>
    <w:basedOn w:val="3"/>
    <w:qFormat/>
    <w:uiPriority w:val="0"/>
    <w:pPr>
      <w:tabs>
        <w:tab w:val="left" w:pos="1200"/>
      </w:tabs>
      <w:adjustRightInd/>
      <w:spacing w:before="0" w:after="0" w:line="240" w:lineRule="auto"/>
      <w:ind w:left="1200" w:hanging="1200"/>
      <w:textAlignment w:val="auto"/>
      <w:outlineLvl w:val="1"/>
    </w:pPr>
    <w:rPr>
      <w:rFonts w:ascii="宋体" w:hAnsi="宋体"/>
      <w:szCs w:val="44"/>
    </w:rPr>
  </w:style>
  <w:style w:type="paragraph" w:customStyle="1" w:styleId="272">
    <w:name w:val="Char Char Char Char Char Char2"/>
    <w:basedOn w:val="1"/>
    <w:qFormat/>
    <w:uiPriority w:val="0"/>
    <w:rPr>
      <w:rFonts w:ascii="Times New Roman" w:hAnsi="Times New Roman"/>
      <w:szCs w:val="24"/>
    </w:rPr>
  </w:style>
  <w:style w:type="paragraph" w:customStyle="1" w:styleId="273">
    <w:name w:val="Char12"/>
    <w:basedOn w:val="1"/>
    <w:qFormat/>
    <w:uiPriority w:val="0"/>
    <w:rPr>
      <w:rFonts w:ascii="Times New Roman" w:hAnsi="Times New Roman"/>
      <w:szCs w:val="24"/>
    </w:rPr>
  </w:style>
  <w:style w:type="paragraph" w:customStyle="1" w:styleId="274">
    <w:name w:val="font9"/>
    <w:basedOn w:val="1"/>
    <w:qFormat/>
    <w:uiPriority w:val="0"/>
    <w:pPr>
      <w:widowControl/>
      <w:spacing w:before="100" w:beforeAutospacing="1" w:after="100" w:afterAutospacing="1"/>
      <w:jc w:val="left"/>
    </w:pPr>
    <w:rPr>
      <w:rFonts w:ascii="Times New Roman" w:hAnsi="Times New Roman"/>
      <w:kern w:val="0"/>
      <w:szCs w:val="24"/>
    </w:rPr>
  </w:style>
  <w:style w:type="paragraph" w:customStyle="1" w:styleId="275">
    <w:name w:val="xl62"/>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276">
    <w:name w:val="xl58"/>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kern w:val="0"/>
      <w:szCs w:val="24"/>
    </w:rPr>
  </w:style>
  <w:style w:type="paragraph" w:customStyle="1" w:styleId="277">
    <w:name w:val="xl6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kern w:val="0"/>
      <w:szCs w:val="24"/>
    </w:rPr>
  </w:style>
  <w:style w:type="paragraph" w:customStyle="1" w:styleId="278">
    <w:name w:val="xl86"/>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Cs w:val="24"/>
    </w:rPr>
  </w:style>
  <w:style w:type="paragraph" w:customStyle="1" w:styleId="279">
    <w:name w:val="xl74"/>
    <w:basedOn w:val="1"/>
    <w:qFormat/>
    <w:uiPriority w:val="0"/>
    <w:pPr>
      <w:widowControl/>
      <w:pBdr>
        <w:top w:val="single" w:color="auto" w:sz="4" w:space="0"/>
        <w:lef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280">
    <w:name w:val="标准"/>
    <w:basedOn w:val="1"/>
    <w:qFormat/>
    <w:uiPriority w:val="0"/>
    <w:pPr>
      <w:adjustRightInd w:val="0"/>
      <w:spacing w:line="360" w:lineRule="auto"/>
      <w:jc w:val="center"/>
      <w:textAlignment w:val="baseline"/>
    </w:pPr>
    <w:rPr>
      <w:rFonts w:ascii="@宋体" w:hAnsi="@宋体" w:eastAsia="文鼎大标宋简" w:cs="@宋体"/>
      <w:kern w:val="0"/>
      <w:szCs w:val="20"/>
    </w:rPr>
  </w:style>
  <w:style w:type="paragraph" w:customStyle="1" w:styleId="281">
    <w:name w:val="xl36"/>
    <w:basedOn w:val="1"/>
    <w:qFormat/>
    <w:uiPriority w:val="0"/>
    <w:pPr>
      <w:widowControl/>
      <w:pBdr>
        <w:bottom w:val="single" w:color="auto" w:sz="4" w:space="0"/>
      </w:pBdr>
      <w:spacing w:before="100" w:beforeAutospacing="1" w:after="100" w:afterAutospacing="1"/>
      <w:jc w:val="center"/>
    </w:pPr>
    <w:rPr>
      <w:rFonts w:ascii="Times New Roman" w:hAnsi="Times New Roman"/>
      <w:kern w:val="0"/>
      <w:sz w:val="44"/>
      <w:szCs w:val="44"/>
    </w:rPr>
  </w:style>
  <w:style w:type="character" w:customStyle="1" w:styleId="282">
    <w:name w:val="Char Char29"/>
    <w:qFormat/>
    <w:uiPriority w:val="0"/>
    <w:rPr>
      <w:rFonts w:ascii="Times New Roman" w:hAnsi="Times New Roman" w:eastAsia="宋体" w:cs="Times New Roman"/>
      <w:szCs w:val="24"/>
      <w:shd w:val="clear" w:color="auto" w:fill="000080"/>
    </w:rPr>
  </w:style>
  <w:style w:type="character" w:customStyle="1" w:styleId="283">
    <w:name w:val="标题 3 Char Char"/>
    <w:qFormat/>
    <w:uiPriority w:val="0"/>
    <w:rPr>
      <w:rFonts w:ascii="Times New Roman" w:hAnsi="Times New Roman"/>
      <w:b/>
      <w:kern w:val="2"/>
      <w:sz w:val="32"/>
    </w:rPr>
  </w:style>
  <w:style w:type="character" w:customStyle="1" w:styleId="284">
    <w:name w:val="正文文本缩进 Char1"/>
    <w:qFormat/>
    <w:uiPriority w:val="0"/>
    <w:rPr>
      <w:rFonts w:ascii="Times New Roman" w:hAnsi="Times New Roman"/>
      <w:kern w:val="2"/>
      <w:sz w:val="21"/>
      <w:szCs w:val="24"/>
    </w:rPr>
  </w:style>
  <w:style w:type="character" w:customStyle="1" w:styleId="285">
    <w:name w:val="Char Char26"/>
    <w:qFormat/>
    <w:uiPriority w:val="0"/>
    <w:rPr>
      <w:rFonts w:ascii="Times New Roman" w:hAnsi="Times New Roman" w:eastAsia="宋体" w:cs="Times New Roman"/>
      <w:sz w:val="18"/>
      <w:szCs w:val="18"/>
    </w:rPr>
  </w:style>
  <w:style w:type="character" w:customStyle="1" w:styleId="286">
    <w:name w:val="正文文本 2 Char"/>
    <w:qFormat/>
    <w:uiPriority w:val="0"/>
    <w:rPr>
      <w:kern w:val="2"/>
      <w:sz w:val="21"/>
      <w:szCs w:val="24"/>
      <w:lang w:bidi="ar-SA"/>
    </w:rPr>
  </w:style>
  <w:style w:type="character" w:customStyle="1" w:styleId="287">
    <w:name w:val="Char Char1"/>
    <w:qFormat/>
    <w:uiPriority w:val="0"/>
    <w:rPr>
      <w:rFonts w:ascii="宋体" w:hAnsi="宋体" w:eastAsia="宋体"/>
      <w:kern w:val="2"/>
      <w:sz w:val="18"/>
      <w:szCs w:val="18"/>
      <w:lang w:val="en-US" w:eastAsia="zh-CN" w:bidi="ar-SA"/>
    </w:rPr>
  </w:style>
  <w:style w:type="character" w:customStyle="1" w:styleId="288">
    <w:name w:val="Char Char40"/>
    <w:qFormat/>
    <w:uiPriority w:val="0"/>
    <w:rPr>
      <w:rFonts w:ascii="Arial" w:hAnsi="Arial" w:eastAsia="黑体" w:cs="Times New Roman"/>
      <w:b/>
      <w:sz w:val="28"/>
    </w:rPr>
  </w:style>
  <w:style w:type="character" w:customStyle="1" w:styleId="289">
    <w:name w:val="Body1! Char"/>
    <w:link w:val="102"/>
    <w:qFormat/>
    <w:locked/>
    <w:uiPriority w:val="0"/>
    <w:rPr>
      <w:rFonts w:ascii="Arial" w:hAnsi="Arial"/>
      <w:szCs w:val="21"/>
      <w:lang w:eastAsia="en-US" w:bidi="ar-SA"/>
    </w:rPr>
  </w:style>
  <w:style w:type="character" w:customStyle="1" w:styleId="290">
    <w:name w:val="页眉 Char1"/>
    <w:link w:val="44"/>
    <w:qFormat/>
    <w:uiPriority w:val="0"/>
    <w:rPr>
      <w:sz w:val="18"/>
      <w:szCs w:val="18"/>
    </w:rPr>
  </w:style>
  <w:style w:type="character" w:customStyle="1" w:styleId="291">
    <w:name w:val="正文文本 3 Char"/>
    <w:qFormat/>
    <w:uiPriority w:val="0"/>
    <w:rPr>
      <w:rFonts w:ascii="宋体"/>
      <w:kern w:val="2"/>
      <w:sz w:val="24"/>
      <w:lang w:bidi="ar-SA"/>
    </w:rPr>
  </w:style>
  <w:style w:type="character" w:customStyle="1" w:styleId="292">
    <w:name w:val="脚注文本 Char"/>
    <w:qFormat/>
    <w:uiPriority w:val="0"/>
    <w:rPr>
      <w:kern w:val="2"/>
      <w:sz w:val="18"/>
      <w:szCs w:val="18"/>
      <w:lang w:bidi="ar-SA"/>
    </w:rPr>
  </w:style>
  <w:style w:type="character" w:customStyle="1" w:styleId="293">
    <w:name w:val="Char Char15"/>
    <w:qFormat/>
    <w:uiPriority w:val="0"/>
    <w:rPr>
      <w:rFonts w:ascii="Arial" w:hAnsi="Arial" w:eastAsia="黑体"/>
      <w:b/>
      <w:sz w:val="24"/>
      <w:lang w:bidi="ar-SA"/>
    </w:rPr>
  </w:style>
  <w:style w:type="character" w:customStyle="1" w:styleId="294">
    <w:name w:val="Char Char27"/>
    <w:qFormat/>
    <w:uiPriority w:val="0"/>
    <w:rPr>
      <w:rFonts w:ascii="Times New Roman" w:hAnsi="Times New Roman" w:eastAsia="宋体" w:cs="Times New Roman"/>
      <w:szCs w:val="24"/>
    </w:rPr>
  </w:style>
  <w:style w:type="character" w:customStyle="1" w:styleId="295">
    <w:name w:val="Char Char23"/>
    <w:qFormat/>
    <w:uiPriority w:val="0"/>
    <w:rPr>
      <w:rFonts w:eastAsia="宋体"/>
      <w:kern w:val="2"/>
      <w:sz w:val="44"/>
      <w:szCs w:val="24"/>
      <w:lang w:val="en-US" w:eastAsia="zh-CN" w:bidi="ar-SA"/>
    </w:rPr>
  </w:style>
  <w:style w:type="character" w:customStyle="1" w:styleId="296">
    <w:name w:val="正文首行缩进 2 Char"/>
    <w:link w:val="65"/>
    <w:qFormat/>
    <w:uiPriority w:val="0"/>
    <w:rPr>
      <w:rFonts w:eastAsia="宋体"/>
      <w:kern w:val="2"/>
      <w:sz w:val="21"/>
      <w:szCs w:val="24"/>
      <w:lang w:bidi="ar-SA"/>
    </w:rPr>
  </w:style>
  <w:style w:type="character" w:customStyle="1" w:styleId="297">
    <w:name w:val="Char Char13"/>
    <w:qFormat/>
    <w:uiPriority w:val="0"/>
    <w:rPr>
      <w:rFonts w:ascii="Arial" w:hAnsi="Arial" w:eastAsia="黑体"/>
      <w:sz w:val="24"/>
      <w:lang w:bidi="ar-SA"/>
    </w:rPr>
  </w:style>
  <w:style w:type="character" w:customStyle="1" w:styleId="298">
    <w:name w:val="h2 Char1"/>
    <w:qFormat/>
    <w:uiPriority w:val="0"/>
    <w:rPr>
      <w:rFonts w:ascii="Arial" w:hAnsi="Arial" w:eastAsia="黑体"/>
      <w:b/>
      <w:bCs/>
      <w:kern w:val="2"/>
      <w:sz w:val="32"/>
      <w:szCs w:val="32"/>
      <w:lang w:val="en-US" w:eastAsia="zh-CN" w:bidi="ar-SA"/>
    </w:rPr>
  </w:style>
  <w:style w:type="character" w:customStyle="1" w:styleId="299">
    <w:name w:val="标题 7 Char Char"/>
    <w:qFormat/>
    <w:uiPriority w:val="0"/>
    <w:rPr>
      <w:b/>
      <w:sz w:val="24"/>
    </w:rPr>
  </w:style>
  <w:style w:type="character" w:customStyle="1" w:styleId="300">
    <w:name w:val="标题 Char"/>
    <w:qFormat/>
    <w:uiPriority w:val="0"/>
    <w:rPr>
      <w:rFonts w:ascii="Arial" w:hAnsi="Arial"/>
      <w:b/>
      <w:sz w:val="32"/>
      <w:lang w:bidi="ar-SA"/>
    </w:rPr>
  </w:style>
  <w:style w:type="character" w:customStyle="1" w:styleId="301">
    <w:name w:val="Char Char42"/>
    <w:qFormat/>
    <w:uiPriority w:val="0"/>
    <w:rPr>
      <w:rFonts w:ascii="Arial" w:hAnsi="Arial" w:eastAsia="黑体"/>
      <w:b/>
      <w:kern w:val="2"/>
      <w:sz w:val="32"/>
    </w:rPr>
  </w:style>
  <w:style w:type="character" w:customStyle="1" w:styleId="302">
    <w:name w:val="文档结构图 Char"/>
    <w:link w:val="20"/>
    <w:qFormat/>
    <w:uiPriority w:val="0"/>
    <w:rPr>
      <w:rFonts w:ascii="Calibri" w:hAnsi="Calibri" w:eastAsia="宋体"/>
      <w:kern w:val="2"/>
      <w:sz w:val="21"/>
      <w:szCs w:val="22"/>
      <w:lang w:val="en-US" w:eastAsia="zh-CN" w:bidi="ar-SA"/>
    </w:rPr>
  </w:style>
  <w:style w:type="character" w:customStyle="1" w:styleId="303">
    <w:name w:val="smblacktext1"/>
    <w:qFormat/>
    <w:uiPriority w:val="0"/>
    <w:rPr>
      <w:rFonts w:hint="default" w:ascii="Arial Unicode MS" w:hAnsi="Arial Unicode MS" w:cs="Arial Unicode MS"/>
      <w:color w:val="000000"/>
      <w:sz w:val="17"/>
      <w:szCs w:val="17"/>
    </w:rPr>
  </w:style>
  <w:style w:type="character" w:customStyle="1" w:styleId="304">
    <w:name w:val="脚注文本 Char Char"/>
    <w:qFormat/>
    <w:uiPriority w:val="0"/>
    <w:rPr>
      <w:rFonts w:ascii="Times New Roman" w:hAnsi="Times New Roman" w:eastAsia="宋体" w:cs="Times New Roman"/>
      <w:sz w:val="18"/>
      <w:szCs w:val="18"/>
    </w:rPr>
  </w:style>
  <w:style w:type="character" w:customStyle="1" w:styleId="305">
    <w:name w:val="日期 Char"/>
    <w:qFormat/>
    <w:uiPriority w:val="0"/>
    <w:rPr>
      <w:kern w:val="2"/>
      <w:sz w:val="24"/>
      <w:lang w:bidi="ar-SA"/>
    </w:rPr>
  </w:style>
  <w:style w:type="character" w:customStyle="1" w:styleId="306">
    <w:name w:val="Char Char31"/>
    <w:qFormat/>
    <w:uiPriority w:val="0"/>
    <w:rPr>
      <w:rFonts w:ascii="Times New Roman" w:hAnsi="Times New Roman" w:eastAsia="宋体" w:cs="Times New Roman"/>
      <w:sz w:val="24"/>
      <w:szCs w:val="24"/>
    </w:rPr>
  </w:style>
  <w:style w:type="character" w:customStyle="1" w:styleId="307">
    <w:name w:val="标题 3 Char_0"/>
    <w:link w:val="112"/>
    <w:qFormat/>
    <w:uiPriority w:val="0"/>
    <w:rPr>
      <w:rFonts w:eastAsia="宋体"/>
      <w:b/>
      <w:sz w:val="32"/>
      <w:lang w:bidi="ar-SA"/>
    </w:rPr>
  </w:style>
  <w:style w:type="character" w:customStyle="1" w:styleId="308">
    <w:name w:val="标题 Char1"/>
    <w:link w:val="62"/>
    <w:qFormat/>
    <w:uiPriority w:val="0"/>
    <w:rPr>
      <w:rFonts w:ascii="Arial" w:hAnsi="Arial" w:eastAsia="宋体"/>
      <w:b/>
      <w:sz w:val="32"/>
      <w:lang w:val="en-US" w:eastAsia="zh-CN" w:bidi="ar-SA"/>
    </w:rPr>
  </w:style>
  <w:style w:type="character" w:customStyle="1" w:styleId="309">
    <w:name w:val="资审正文 Char"/>
    <w:qFormat/>
    <w:uiPriority w:val="0"/>
    <w:rPr>
      <w:rFonts w:ascii="华文细黑" w:hAnsi="华文细黑" w:eastAsia="宋体"/>
      <w:kern w:val="2"/>
      <w:sz w:val="26"/>
      <w:szCs w:val="26"/>
      <w:lang w:val="en-US" w:eastAsia="zh-CN" w:bidi="ar-SA"/>
    </w:rPr>
  </w:style>
  <w:style w:type="character" w:customStyle="1" w:styleId="310">
    <w:name w:val="标题 5 Char1"/>
    <w:link w:val="7"/>
    <w:qFormat/>
    <w:uiPriority w:val="0"/>
    <w:rPr>
      <w:rFonts w:eastAsia="宋体"/>
      <w:kern w:val="2"/>
      <w:sz w:val="28"/>
      <w:lang w:bidi="ar-SA"/>
    </w:rPr>
  </w:style>
  <w:style w:type="character" w:customStyle="1" w:styleId="311">
    <w:name w:val="Char Char6"/>
    <w:qFormat/>
    <w:uiPriority w:val="0"/>
    <w:rPr>
      <w:rFonts w:eastAsia="宋体"/>
      <w:color w:val="000000"/>
      <w:sz w:val="28"/>
      <w:lang w:bidi="ar-SA"/>
    </w:rPr>
  </w:style>
  <w:style w:type="character" w:customStyle="1" w:styleId="312">
    <w:name w:val="标题 8 Char"/>
    <w:qFormat/>
    <w:uiPriority w:val="0"/>
    <w:rPr>
      <w:rFonts w:ascii="Arial" w:hAnsi="Arial" w:eastAsia="黑体"/>
      <w:kern w:val="2"/>
      <w:sz w:val="24"/>
      <w:szCs w:val="24"/>
      <w:lang w:val="en-US" w:eastAsia="zh-CN" w:bidi="ar-SA"/>
    </w:rPr>
  </w:style>
  <w:style w:type="character" w:customStyle="1" w:styleId="313">
    <w:name w:val="无间隔 Char"/>
    <w:qFormat/>
    <w:uiPriority w:val="0"/>
    <w:rPr>
      <w:rFonts w:ascii="Calibri" w:hAnsi="Calibri" w:eastAsia="宋体"/>
      <w:kern w:val="2"/>
      <w:sz w:val="22"/>
      <w:lang w:bidi="ar-SA"/>
    </w:rPr>
  </w:style>
  <w:style w:type="character" w:customStyle="1" w:styleId="314">
    <w:name w:val="Char Char24"/>
    <w:qFormat/>
    <w:uiPriority w:val="0"/>
    <w:rPr>
      <w:rFonts w:ascii="Times New Roman" w:hAnsi="Times New Roman" w:eastAsia="宋体" w:cs="Times New Roman"/>
      <w:color w:val="000000"/>
      <w:sz w:val="28"/>
      <w:szCs w:val="20"/>
    </w:rPr>
  </w:style>
  <w:style w:type="character" w:customStyle="1" w:styleId="315">
    <w:name w:val="正文文本缩进 Char2"/>
    <w:link w:val="27"/>
    <w:qFormat/>
    <w:uiPriority w:val="0"/>
    <w:rPr>
      <w:rFonts w:eastAsia="宋体"/>
      <w:kern w:val="2"/>
      <w:sz w:val="24"/>
      <w:lang w:val="en-US" w:eastAsia="zh-CN" w:bidi="ar-SA"/>
    </w:rPr>
  </w:style>
  <w:style w:type="character" w:customStyle="1" w:styleId="316">
    <w:name w:val="Char Char22"/>
    <w:qFormat/>
    <w:uiPriority w:val="0"/>
    <w:rPr>
      <w:rFonts w:ascii="Times New Roman" w:hAnsi="Times New Roman" w:eastAsia="宋体" w:cs="Times New Roman"/>
      <w:b/>
      <w:bCs/>
      <w:kern w:val="44"/>
      <w:sz w:val="44"/>
      <w:szCs w:val="44"/>
    </w:rPr>
  </w:style>
  <w:style w:type="character" w:customStyle="1" w:styleId="317">
    <w:name w:val="纯文本 Char"/>
    <w:link w:val="35"/>
    <w:qFormat/>
    <w:uiPriority w:val="0"/>
    <w:rPr>
      <w:rFonts w:ascii="宋体" w:hAnsi="Courier New" w:eastAsia="宋体" w:cs="Courier New"/>
      <w:kern w:val="2"/>
      <w:sz w:val="21"/>
      <w:szCs w:val="21"/>
      <w:lang w:val="en-US" w:eastAsia="zh-CN" w:bidi="ar-SA"/>
    </w:rPr>
  </w:style>
  <w:style w:type="character" w:customStyle="1" w:styleId="318">
    <w:name w:val="正文文本缩进 2 Char Char"/>
    <w:qFormat/>
    <w:uiPriority w:val="0"/>
    <w:rPr>
      <w:rFonts w:ascii="Times New Roman" w:hAnsi="Times New Roman" w:eastAsia="宋体" w:cs="Times New Roman"/>
      <w:color w:val="000000"/>
      <w:sz w:val="28"/>
      <w:szCs w:val="20"/>
    </w:rPr>
  </w:style>
  <w:style w:type="character" w:customStyle="1" w:styleId="319">
    <w:name w:val="Char Char14"/>
    <w:qFormat/>
    <w:uiPriority w:val="0"/>
    <w:rPr>
      <w:rFonts w:ascii="Calibri" w:hAnsi="Calibri" w:eastAsia="宋体"/>
      <w:b/>
      <w:sz w:val="24"/>
      <w:lang w:bidi="ar-SA"/>
    </w:rPr>
  </w:style>
  <w:style w:type="character" w:customStyle="1" w:styleId="320">
    <w:name w:val="正文文本缩进 3 Char Char"/>
    <w:qFormat/>
    <w:uiPriority w:val="0"/>
    <w:rPr>
      <w:rFonts w:ascii="Times New Roman" w:hAnsi="Times New Roman" w:eastAsia="宋体" w:cs="Times New Roman"/>
      <w:sz w:val="24"/>
      <w:szCs w:val="24"/>
    </w:rPr>
  </w:style>
  <w:style w:type="character" w:customStyle="1" w:styleId="321">
    <w:name w:val="标题 1 Char1"/>
    <w:link w:val="3"/>
    <w:qFormat/>
    <w:uiPriority w:val="0"/>
    <w:rPr>
      <w:rFonts w:eastAsia="宋体"/>
      <w:b/>
      <w:sz w:val="28"/>
      <w:lang w:val="en-US" w:eastAsia="zh-CN" w:bidi="ar-SA"/>
    </w:rPr>
  </w:style>
  <w:style w:type="character" w:customStyle="1" w:styleId="322">
    <w:name w:val="标题 4 Char Char"/>
    <w:qFormat/>
    <w:uiPriority w:val="0"/>
    <w:rPr>
      <w:rFonts w:ascii="Arial" w:hAnsi="Arial" w:eastAsia="黑体" w:cs="Times New Roman"/>
      <w:b/>
      <w:sz w:val="28"/>
    </w:rPr>
  </w:style>
  <w:style w:type="character" w:customStyle="1" w:styleId="323">
    <w:name w:val="Char Char33"/>
    <w:qFormat/>
    <w:uiPriority w:val="0"/>
    <w:rPr>
      <w:rFonts w:ascii="宋体" w:hAnsi="Times New Roman" w:eastAsia="宋体" w:cs="Times New Roman"/>
      <w:sz w:val="24"/>
      <w:szCs w:val="24"/>
    </w:rPr>
  </w:style>
  <w:style w:type="character" w:customStyle="1" w:styleId="324">
    <w:name w:val="正文文本缩进 3 Char"/>
    <w:qFormat/>
    <w:uiPriority w:val="0"/>
    <w:rPr>
      <w:kern w:val="2"/>
      <w:sz w:val="16"/>
      <w:szCs w:val="16"/>
      <w:lang w:bidi="ar-SA"/>
    </w:rPr>
  </w:style>
  <w:style w:type="character" w:customStyle="1" w:styleId="325">
    <w:name w:val="纯文本 Char1"/>
    <w:qFormat/>
    <w:uiPriority w:val="0"/>
    <w:rPr>
      <w:rFonts w:ascii="宋体" w:hAnsi="Courier New" w:cs="Courier New"/>
      <w:kern w:val="2"/>
      <w:sz w:val="21"/>
      <w:szCs w:val="21"/>
    </w:rPr>
  </w:style>
  <w:style w:type="character" w:customStyle="1" w:styleId="326">
    <w:name w:val="Char Char12"/>
    <w:qFormat/>
    <w:uiPriority w:val="0"/>
    <w:rPr>
      <w:rFonts w:ascii="Arial" w:hAnsi="Arial" w:eastAsia="黑体"/>
      <w:lang w:bidi="ar-SA"/>
    </w:rPr>
  </w:style>
  <w:style w:type="character" w:customStyle="1" w:styleId="327">
    <w:name w:val="批注框文本 Char Char"/>
    <w:qFormat/>
    <w:uiPriority w:val="0"/>
    <w:rPr>
      <w:rFonts w:ascii="Times New Roman" w:hAnsi="Times New Roman" w:eastAsia="宋体" w:cs="Times New Roman"/>
      <w:sz w:val="18"/>
      <w:szCs w:val="18"/>
    </w:rPr>
  </w:style>
  <w:style w:type="character" w:customStyle="1" w:styleId="328">
    <w:name w:val="脚注文本 Char1"/>
    <w:link w:val="50"/>
    <w:qFormat/>
    <w:uiPriority w:val="0"/>
    <w:rPr>
      <w:rFonts w:eastAsia="宋体"/>
      <w:sz w:val="18"/>
      <w:szCs w:val="18"/>
      <w:lang w:bidi="ar-SA"/>
    </w:rPr>
  </w:style>
  <w:style w:type="character" w:customStyle="1" w:styleId="329">
    <w:name w:val="标题 7 Char"/>
    <w:qFormat/>
    <w:uiPriority w:val="0"/>
    <w:rPr>
      <w:rFonts w:eastAsia="宋体"/>
      <w:b/>
      <w:bCs/>
      <w:kern w:val="2"/>
      <w:sz w:val="24"/>
      <w:szCs w:val="24"/>
      <w:lang w:val="en-US" w:eastAsia="zh-CN" w:bidi="ar-SA"/>
    </w:rPr>
  </w:style>
  <w:style w:type="character" w:customStyle="1" w:styleId="330">
    <w:name w:val="Char Char20"/>
    <w:qFormat/>
    <w:uiPriority w:val="0"/>
    <w:rPr>
      <w:rFonts w:eastAsia="宋体"/>
      <w:b/>
      <w:kern w:val="44"/>
      <w:sz w:val="44"/>
      <w:lang w:bidi="ar-SA"/>
    </w:rPr>
  </w:style>
  <w:style w:type="character" w:customStyle="1" w:styleId="331">
    <w:name w:val="Char Char38"/>
    <w:qFormat/>
    <w:uiPriority w:val="0"/>
    <w:rPr>
      <w:rFonts w:ascii="Arial" w:hAnsi="Arial" w:eastAsia="黑体"/>
      <w:b/>
      <w:sz w:val="24"/>
    </w:rPr>
  </w:style>
  <w:style w:type="character" w:customStyle="1" w:styleId="332">
    <w:name w:val="尾注文本 Char1"/>
    <w:link w:val="41"/>
    <w:qFormat/>
    <w:uiPriority w:val="0"/>
    <w:rPr>
      <w:rFonts w:eastAsia="宋体"/>
      <w:szCs w:val="24"/>
      <w:lang w:bidi="ar-SA"/>
    </w:rPr>
  </w:style>
  <w:style w:type="character" w:customStyle="1" w:styleId="333">
    <w:name w:val="正文文本缩进 3 Char1"/>
    <w:link w:val="52"/>
    <w:qFormat/>
    <w:uiPriority w:val="0"/>
    <w:rPr>
      <w:rFonts w:ascii="Calibri" w:hAnsi="Calibri" w:eastAsia="宋体"/>
      <w:kern w:val="2"/>
      <w:sz w:val="16"/>
      <w:szCs w:val="16"/>
      <w:lang w:val="en-US" w:eastAsia="zh-CN" w:bidi="ar-SA"/>
    </w:rPr>
  </w:style>
  <w:style w:type="character" w:customStyle="1" w:styleId="334">
    <w:name w:val="正文文本 2 Char1"/>
    <w:link w:val="58"/>
    <w:qFormat/>
    <w:uiPriority w:val="0"/>
    <w:rPr>
      <w:kern w:val="2"/>
      <w:sz w:val="44"/>
      <w:szCs w:val="24"/>
      <w:lang w:bidi="ar-SA"/>
    </w:rPr>
  </w:style>
  <w:style w:type="character" w:customStyle="1" w:styleId="335">
    <w:name w:val="正文文本 3 Char Char"/>
    <w:qFormat/>
    <w:uiPriority w:val="0"/>
    <w:rPr>
      <w:rFonts w:ascii="宋体" w:hAnsi="Times New Roman" w:eastAsia="宋体" w:cs="Times New Roman"/>
      <w:sz w:val="24"/>
      <w:szCs w:val="24"/>
    </w:rPr>
  </w:style>
  <w:style w:type="character" w:customStyle="1" w:styleId="336">
    <w:name w:val="Char Char3"/>
    <w:qFormat/>
    <w:uiPriority w:val="0"/>
    <w:rPr>
      <w:rFonts w:eastAsia="宋体"/>
      <w:szCs w:val="24"/>
      <w:lang w:bidi="ar-SA"/>
    </w:rPr>
  </w:style>
  <w:style w:type="character" w:customStyle="1" w:styleId="337">
    <w:name w:val="页脚 Char"/>
    <w:qFormat/>
    <w:uiPriority w:val="0"/>
    <w:rPr>
      <w:rFonts w:ascii="Times New Roman" w:hAnsi="Times New Roman" w:eastAsia="宋体" w:cs="Times New Roman"/>
      <w:sz w:val="18"/>
      <w:szCs w:val="18"/>
    </w:rPr>
  </w:style>
  <w:style w:type="character" w:customStyle="1" w:styleId="338">
    <w:name w:val="标题 Char Char"/>
    <w:qFormat/>
    <w:uiPriority w:val="0"/>
    <w:rPr>
      <w:rFonts w:ascii="Arial" w:hAnsi="Arial" w:cs="Arial"/>
      <w:b/>
      <w:sz w:val="32"/>
    </w:rPr>
  </w:style>
  <w:style w:type="character" w:customStyle="1" w:styleId="339">
    <w:name w:val="Char Char17"/>
    <w:qFormat/>
    <w:uiPriority w:val="0"/>
    <w:rPr>
      <w:rFonts w:ascii="Arial" w:hAnsi="Arial" w:eastAsia="黑体"/>
      <w:b/>
      <w:sz w:val="28"/>
      <w:lang w:bidi="ar-SA"/>
    </w:rPr>
  </w:style>
  <w:style w:type="character" w:customStyle="1" w:styleId="340">
    <w:name w:val="批注框文本 Char"/>
    <w:qFormat/>
    <w:uiPriority w:val="0"/>
    <w:rPr>
      <w:kern w:val="2"/>
      <w:sz w:val="18"/>
      <w:szCs w:val="18"/>
      <w:lang w:bidi="ar-SA"/>
    </w:rPr>
  </w:style>
  <w:style w:type="character" w:customStyle="1" w:styleId="341">
    <w:name w:val="正文首行缩进 2 Char1"/>
    <w:qFormat/>
    <w:uiPriority w:val="0"/>
    <w:rPr>
      <w:rFonts w:ascii="Times New Roman" w:hAnsi="Times New Roman" w:eastAsia="黑体" w:cs="Times New Roman"/>
      <w:kern w:val="2"/>
      <w:sz w:val="24"/>
      <w:szCs w:val="24"/>
    </w:rPr>
  </w:style>
  <w:style w:type="character" w:customStyle="1" w:styleId="342">
    <w:name w:val="Char Char5"/>
    <w:qFormat/>
    <w:uiPriority w:val="0"/>
    <w:rPr>
      <w:rFonts w:eastAsia="宋体"/>
      <w:sz w:val="18"/>
      <w:szCs w:val="18"/>
      <w:lang w:bidi="ar-SA"/>
    </w:rPr>
  </w:style>
  <w:style w:type="character" w:customStyle="1" w:styleId="343">
    <w:name w:val="标题 6 Char Char"/>
    <w:qFormat/>
    <w:uiPriority w:val="0"/>
    <w:rPr>
      <w:rFonts w:ascii="Arial" w:hAnsi="Arial" w:eastAsia="黑体"/>
      <w:b/>
      <w:sz w:val="24"/>
    </w:rPr>
  </w:style>
  <w:style w:type="character" w:customStyle="1" w:styleId="344">
    <w:name w:val="资审正文 Char Char"/>
    <w:link w:val="241"/>
    <w:qFormat/>
    <w:uiPriority w:val="0"/>
    <w:rPr>
      <w:rFonts w:ascii="华文细黑" w:hAnsi="华文细黑" w:eastAsia="宋体"/>
      <w:sz w:val="26"/>
      <w:szCs w:val="26"/>
      <w:lang w:bidi="ar-SA"/>
    </w:rPr>
  </w:style>
  <w:style w:type="character" w:customStyle="1" w:styleId="345">
    <w:name w:val="标题 8 Char1"/>
    <w:link w:val="10"/>
    <w:qFormat/>
    <w:uiPriority w:val="0"/>
    <w:rPr>
      <w:rFonts w:ascii="Arial" w:hAnsi="Arial" w:eastAsia="黑体"/>
      <w:sz w:val="24"/>
      <w:szCs w:val="24"/>
      <w:lang w:bidi="ar-SA"/>
    </w:rPr>
  </w:style>
  <w:style w:type="character" w:customStyle="1" w:styleId="346">
    <w:name w:val="Char Char32"/>
    <w:qFormat/>
    <w:uiPriority w:val="0"/>
    <w:rPr>
      <w:rFonts w:ascii="Times New Roman" w:hAnsi="Times New Roman" w:eastAsia="宋体" w:cs="Times New Roman"/>
      <w:sz w:val="18"/>
      <w:szCs w:val="18"/>
    </w:rPr>
  </w:style>
  <w:style w:type="character" w:customStyle="1" w:styleId="347">
    <w:name w:val="Char Char9"/>
    <w:qFormat/>
    <w:uiPriority w:val="0"/>
    <w:rPr>
      <w:rFonts w:eastAsia="宋体"/>
      <w:szCs w:val="24"/>
      <w:lang w:bidi="ar-SA"/>
    </w:rPr>
  </w:style>
  <w:style w:type="character" w:customStyle="1" w:styleId="348">
    <w:name w:val="正文文本 Char1"/>
    <w:qFormat/>
    <w:uiPriority w:val="0"/>
    <w:rPr>
      <w:rFonts w:ascii="Times New Roman" w:hAnsi="Times New Roman"/>
      <w:kern w:val="2"/>
      <w:sz w:val="21"/>
      <w:szCs w:val="24"/>
    </w:rPr>
  </w:style>
  <w:style w:type="character" w:customStyle="1" w:styleId="349">
    <w:name w:val="Char Char28"/>
    <w:qFormat/>
    <w:uiPriority w:val="0"/>
    <w:rPr>
      <w:rFonts w:ascii="Times New Roman" w:hAnsi="Times New Roman" w:eastAsia="宋体" w:cs="Times New Roman"/>
      <w:szCs w:val="24"/>
    </w:rPr>
  </w:style>
  <w:style w:type="character" w:customStyle="1" w:styleId="350">
    <w:name w:val="正文文本缩进 Char_0"/>
    <w:link w:val="194"/>
    <w:qFormat/>
    <w:uiPriority w:val="0"/>
    <w:rPr>
      <w:rFonts w:eastAsia="宋体"/>
      <w:szCs w:val="24"/>
      <w:lang w:bidi="ar-SA"/>
    </w:rPr>
  </w:style>
  <w:style w:type="character" w:customStyle="1" w:styleId="351">
    <w:name w:val="正文文本 Char"/>
    <w:qFormat/>
    <w:uiPriority w:val="0"/>
    <w:rPr>
      <w:rFonts w:ascii="Times New Roman" w:hAnsi="Times New Roman" w:eastAsia="宋体" w:cs="Times New Roman"/>
      <w:sz w:val="44"/>
      <w:szCs w:val="24"/>
    </w:rPr>
  </w:style>
  <w:style w:type="character" w:customStyle="1" w:styleId="352">
    <w:name w:val="列出段落 Char"/>
    <w:link w:val="163"/>
    <w:qFormat/>
    <w:uiPriority w:val="0"/>
    <w:rPr>
      <w:rFonts w:ascii="Calibri" w:hAnsi="Calibri" w:eastAsia="宋体"/>
      <w:kern w:val="2"/>
      <w:sz w:val="21"/>
      <w:szCs w:val="22"/>
      <w:lang w:val="en-US" w:eastAsia="zh-CN" w:bidi="ar-SA"/>
    </w:rPr>
  </w:style>
  <w:style w:type="character" w:customStyle="1" w:styleId="353">
    <w:name w:val="手改 Char Char"/>
    <w:qFormat/>
    <w:uiPriority w:val="0"/>
    <w:rPr>
      <w:rFonts w:eastAsia="宋体"/>
      <w:sz w:val="44"/>
      <w:szCs w:val="24"/>
      <w:lang w:bidi="ar-SA"/>
    </w:rPr>
  </w:style>
  <w:style w:type="character" w:customStyle="1" w:styleId="354">
    <w:name w:val="标题 9 Char"/>
    <w:qFormat/>
    <w:uiPriority w:val="0"/>
    <w:rPr>
      <w:rFonts w:ascii="Arial" w:hAnsi="Arial" w:eastAsia="黑体"/>
      <w:kern w:val="2"/>
      <w:sz w:val="21"/>
      <w:szCs w:val="21"/>
      <w:lang w:val="en-US" w:eastAsia="zh-CN" w:bidi="ar-SA"/>
    </w:rPr>
  </w:style>
  <w:style w:type="character" w:customStyle="1" w:styleId="355">
    <w:name w:val="日期 Char1"/>
    <w:link w:val="39"/>
    <w:qFormat/>
    <w:uiPriority w:val="0"/>
    <w:rPr>
      <w:rFonts w:eastAsia="宋体"/>
      <w:kern w:val="2"/>
      <w:sz w:val="24"/>
      <w:lang w:val="en-US" w:eastAsia="zh-CN" w:bidi="ar-SA"/>
    </w:rPr>
  </w:style>
  <w:style w:type="character" w:customStyle="1" w:styleId="356">
    <w:name w:val="标题 6 Char1"/>
    <w:link w:val="8"/>
    <w:qFormat/>
    <w:uiPriority w:val="0"/>
    <w:rPr>
      <w:rFonts w:eastAsia="仿宋_GB2312"/>
      <w:color w:val="000000"/>
      <w:sz w:val="28"/>
      <w:lang w:bidi="ar-SA"/>
    </w:rPr>
  </w:style>
  <w:style w:type="character" w:customStyle="1" w:styleId="357">
    <w:name w:val="Char Char25"/>
    <w:qFormat/>
    <w:uiPriority w:val="0"/>
    <w:rPr>
      <w:rFonts w:ascii="Times New Roman" w:hAnsi="Times New Roman" w:eastAsia="宋体" w:cs="Times New Roman"/>
      <w:szCs w:val="24"/>
    </w:rPr>
  </w:style>
  <w:style w:type="character" w:customStyle="1" w:styleId="358">
    <w:name w:val="Char Char7"/>
    <w:qFormat/>
    <w:uiPriority w:val="0"/>
    <w:rPr>
      <w:rFonts w:eastAsia="宋体"/>
      <w:sz w:val="24"/>
      <w:szCs w:val="24"/>
      <w:lang w:bidi="ar-SA"/>
    </w:rPr>
  </w:style>
  <w:style w:type="character" w:customStyle="1" w:styleId="359">
    <w:name w:val="标题 9 Char1"/>
    <w:link w:val="11"/>
    <w:qFormat/>
    <w:uiPriority w:val="0"/>
    <w:rPr>
      <w:rFonts w:ascii="Arial" w:hAnsi="Arial" w:eastAsia="黑体"/>
      <w:szCs w:val="21"/>
      <w:lang w:bidi="ar-SA"/>
    </w:rPr>
  </w:style>
  <w:style w:type="character" w:customStyle="1" w:styleId="360">
    <w:name w:val="日期 Char Char"/>
    <w:qFormat/>
    <w:uiPriority w:val="0"/>
    <w:rPr>
      <w:rFonts w:ascii="Times New Roman" w:hAnsi="Times New Roman" w:eastAsia="宋体" w:cs="Times New Roman"/>
      <w:szCs w:val="24"/>
    </w:rPr>
  </w:style>
  <w:style w:type="character" w:customStyle="1" w:styleId="361">
    <w:name w:val="标题 3 Char1"/>
    <w:link w:val="5"/>
    <w:qFormat/>
    <w:uiPriority w:val="0"/>
    <w:rPr>
      <w:rFonts w:ascii="Calibri" w:hAnsi="Calibri" w:eastAsia="宋体"/>
      <w:b/>
      <w:bCs/>
      <w:kern w:val="2"/>
      <w:sz w:val="32"/>
      <w:szCs w:val="32"/>
      <w:lang w:val="en-US" w:eastAsia="zh-CN" w:bidi="ar-SA"/>
    </w:rPr>
  </w:style>
  <w:style w:type="character" w:customStyle="1" w:styleId="362">
    <w:name w:val="hit"/>
    <w:qFormat/>
    <w:uiPriority w:val="0"/>
    <w:rPr>
      <w:b/>
      <w:bCs/>
      <w:color w:val="FF0000"/>
    </w:rPr>
  </w:style>
  <w:style w:type="character" w:customStyle="1" w:styleId="363">
    <w:name w:val="标题 5 Char Char"/>
    <w:qFormat/>
    <w:uiPriority w:val="0"/>
    <w:rPr>
      <w:b/>
      <w:bCs/>
      <w:kern w:val="2"/>
      <w:sz w:val="28"/>
      <w:szCs w:val="28"/>
    </w:rPr>
  </w:style>
  <w:style w:type="character" w:customStyle="1" w:styleId="364">
    <w:name w:val="Char Char30"/>
    <w:qFormat/>
    <w:uiPriority w:val="0"/>
    <w:rPr>
      <w:rFonts w:ascii="Times New Roman" w:hAnsi="Times New Roman" w:eastAsia="宋体" w:cs="Times New Roman"/>
      <w:sz w:val="18"/>
      <w:szCs w:val="18"/>
    </w:rPr>
  </w:style>
  <w:style w:type="character" w:customStyle="1" w:styleId="365">
    <w:name w:val="Char Char2"/>
    <w:qFormat/>
    <w:uiPriority w:val="0"/>
    <w:rPr>
      <w:rFonts w:eastAsia="宋体"/>
      <w:sz w:val="18"/>
      <w:szCs w:val="18"/>
      <w:lang w:bidi="ar-SA"/>
    </w:rPr>
  </w:style>
  <w:style w:type="character" w:customStyle="1" w:styleId="366">
    <w:name w:val="标题 4 Char1"/>
    <w:link w:val="6"/>
    <w:qFormat/>
    <w:uiPriority w:val="0"/>
    <w:rPr>
      <w:rFonts w:ascii="Arial" w:hAnsi="Arial" w:eastAsia="黑体"/>
      <w:b/>
      <w:bCs/>
      <w:kern w:val="2"/>
      <w:sz w:val="28"/>
      <w:szCs w:val="28"/>
      <w:lang w:val="en-US" w:eastAsia="zh-CN" w:bidi="ar-SA"/>
    </w:rPr>
  </w:style>
  <w:style w:type="character" w:customStyle="1" w:styleId="367">
    <w:name w:val="123YJ Char3"/>
    <w:qFormat/>
    <w:uiPriority w:val="0"/>
    <w:rPr>
      <w:rFonts w:eastAsia="宋体"/>
      <w:sz w:val="18"/>
      <w:szCs w:val="18"/>
      <w:lang w:bidi="ar-SA"/>
    </w:rPr>
  </w:style>
  <w:style w:type="character" w:customStyle="1" w:styleId="368">
    <w:name w:val="Char Char37"/>
    <w:qFormat/>
    <w:uiPriority w:val="0"/>
    <w:rPr>
      <w:b/>
      <w:sz w:val="24"/>
    </w:rPr>
  </w:style>
  <w:style w:type="character" w:customStyle="1" w:styleId="369">
    <w:name w:val="表格内容 Char Char"/>
    <w:link w:val="185"/>
    <w:qFormat/>
    <w:uiPriority w:val="0"/>
    <w:rPr>
      <w:rFonts w:ascii="文鼎大标宋简" w:hAnsi="文鼎大标宋简" w:eastAsia="文鼎大标宋简" w:cs="文鼎大标宋简"/>
      <w:color w:val="000000"/>
      <w:sz w:val="21"/>
      <w:szCs w:val="22"/>
      <w:lang w:val="en-US" w:eastAsia="zh-CN" w:bidi="ar-SA"/>
    </w:rPr>
  </w:style>
  <w:style w:type="character" w:customStyle="1" w:styleId="370">
    <w:name w:val="正文文本缩进 2 Char"/>
    <w:qFormat/>
    <w:uiPriority w:val="0"/>
    <w:rPr>
      <w:rFonts w:ascii="宋体" w:hAnsi="宋体"/>
      <w:kern w:val="2"/>
      <w:sz w:val="27"/>
      <w:szCs w:val="27"/>
      <w:lang w:bidi="ar-SA"/>
    </w:rPr>
  </w:style>
  <w:style w:type="character" w:customStyle="1" w:styleId="371">
    <w:name w:val="标题 7 Char_0"/>
    <w:link w:val="225"/>
    <w:qFormat/>
    <w:uiPriority w:val="0"/>
    <w:rPr>
      <w:b/>
      <w:sz w:val="24"/>
      <w:lang w:bidi="ar-SA"/>
    </w:rPr>
  </w:style>
  <w:style w:type="character" w:customStyle="1" w:styleId="372">
    <w:name w:val="尾注文本 Char"/>
    <w:qFormat/>
    <w:uiPriority w:val="0"/>
    <w:rPr>
      <w:kern w:val="2"/>
      <w:sz w:val="21"/>
      <w:szCs w:val="24"/>
      <w:lang w:bidi="ar-SA"/>
    </w:rPr>
  </w:style>
  <w:style w:type="character" w:customStyle="1" w:styleId="373">
    <w:name w:val="尾注文本 Char Char"/>
    <w:qFormat/>
    <w:uiPriority w:val="0"/>
    <w:rPr>
      <w:rFonts w:ascii="Times New Roman" w:hAnsi="Times New Roman" w:eastAsia="宋体" w:cs="Times New Roman"/>
      <w:szCs w:val="24"/>
    </w:rPr>
  </w:style>
  <w:style w:type="character" w:customStyle="1" w:styleId="374">
    <w:name w:val="Char Char11"/>
    <w:qFormat/>
    <w:uiPriority w:val="0"/>
    <w:rPr>
      <w:rFonts w:eastAsia="宋体"/>
      <w:kern w:val="2"/>
      <w:sz w:val="18"/>
      <w:szCs w:val="18"/>
      <w:lang w:val="en-US" w:eastAsia="zh-CN" w:bidi="ar-SA"/>
    </w:rPr>
  </w:style>
  <w:style w:type="character" w:customStyle="1" w:styleId="375">
    <w:name w:val="批注主题 Char"/>
    <w:link w:val="63"/>
    <w:qFormat/>
    <w:uiPriority w:val="0"/>
    <w:rPr>
      <w:rFonts w:eastAsia="宋体"/>
      <w:b/>
      <w:bCs/>
      <w:szCs w:val="24"/>
      <w:lang w:bidi="ar-SA"/>
    </w:rPr>
  </w:style>
  <w:style w:type="character" w:customStyle="1" w:styleId="376">
    <w:name w:val="无间隔 Char1"/>
    <w:link w:val="91"/>
    <w:qFormat/>
    <w:uiPriority w:val="0"/>
    <w:rPr>
      <w:rFonts w:ascii="Times New Roman" w:hAnsi="Times New Roman" w:eastAsia="Times New Roman"/>
      <w:kern w:val="2"/>
      <w:sz w:val="22"/>
      <w:lang w:val="en-US" w:eastAsia="zh-CN" w:bidi="ar-SA"/>
    </w:rPr>
  </w:style>
  <w:style w:type="character" w:customStyle="1" w:styleId="377">
    <w:name w:val="数字"/>
    <w:qFormat/>
    <w:uiPriority w:val="0"/>
    <w:rPr>
      <w:rFonts w:eastAsia="黑体"/>
      <w:b/>
      <w:sz w:val="21"/>
    </w:rPr>
  </w:style>
  <w:style w:type="character" w:customStyle="1" w:styleId="378">
    <w:name w:val="标题 8 Char Char"/>
    <w:qFormat/>
    <w:uiPriority w:val="0"/>
    <w:rPr>
      <w:rFonts w:ascii="Arial" w:hAnsi="Arial" w:eastAsia="黑体"/>
      <w:sz w:val="24"/>
    </w:rPr>
  </w:style>
  <w:style w:type="character" w:customStyle="1" w:styleId="379">
    <w:name w:val="标题 9 Char Char"/>
    <w:qFormat/>
    <w:uiPriority w:val="0"/>
    <w:rPr>
      <w:rFonts w:ascii="Arial" w:hAnsi="Arial" w:eastAsia="黑体"/>
    </w:rPr>
  </w:style>
  <w:style w:type="character" w:customStyle="1" w:styleId="380">
    <w:name w:val="正文部分 Char Char"/>
    <w:link w:val="106"/>
    <w:qFormat/>
    <w:uiPriority w:val="0"/>
    <w:rPr>
      <w:rFonts w:ascii="华文细黑" w:hAnsi="华文细黑" w:eastAsia="宋体"/>
      <w:kern w:val="2"/>
      <w:sz w:val="24"/>
      <w:lang w:val="en-US" w:eastAsia="zh-CN" w:bidi="ar-SA"/>
    </w:rPr>
  </w:style>
  <w:style w:type="character" w:customStyle="1" w:styleId="381">
    <w:name w:val="文章 Char Char"/>
    <w:link w:val="97"/>
    <w:qFormat/>
    <w:uiPriority w:val="0"/>
    <w:rPr>
      <w:rFonts w:ascii="Times New Roman" w:hAnsi="Times New Roman" w:eastAsia="Times New Roman"/>
      <w:kern w:val="2"/>
      <w:sz w:val="24"/>
      <w:szCs w:val="24"/>
      <w:lang w:val="en-US" w:eastAsia="zh-CN" w:bidi="ar-SA"/>
    </w:rPr>
  </w:style>
  <w:style w:type="character" w:customStyle="1" w:styleId="382">
    <w:name w:val="页眉 Char"/>
    <w:qFormat/>
    <w:uiPriority w:val="0"/>
    <w:rPr>
      <w:rFonts w:eastAsia="宋体"/>
      <w:kern w:val="2"/>
      <w:sz w:val="18"/>
      <w:szCs w:val="18"/>
      <w:lang w:val="en-US" w:eastAsia="zh-CN" w:bidi="ar-SA"/>
    </w:rPr>
  </w:style>
  <w:style w:type="character" w:customStyle="1" w:styleId="383">
    <w:name w:val="标题 7 Char1"/>
    <w:link w:val="9"/>
    <w:qFormat/>
    <w:uiPriority w:val="0"/>
    <w:rPr>
      <w:rFonts w:eastAsia="宋体"/>
      <w:b/>
      <w:bCs/>
      <w:sz w:val="24"/>
      <w:szCs w:val="24"/>
      <w:lang w:bidi="ar-SA"/>
    </w:rPr>
  </w:style>
  <w:style w:type="character" w:customStyle="1" w:styleId="384">
    <w:name w:val="正文文字4 Char Char"/>
    <w:qFormat/>
    <w:uiPriority w:val="0"/>
    <w:rPr>
      <w:rFonts w:ascii="华文细黑" w:hAnsi="华文细黑" w:eastAsia="宋体"/>
      <w:kern w:val="2"/>
      <w:sz w:val="26"/>
      <w:szCs w:val="24"/>
      <w:lang w:val="en-US" w:eastAsia="zh-CN" w:bidi="ar-SA"/>
    </w:rPr>
  </w:style>
  <w:style w:type="character" w:customStyle="1" w:styleId="385">
    <w:name w:val="批注文字 Char1"/>
    <w:link w:val="21"/>
    <w:qFormat/>
    <w:uiPriority w:val="0"/>
    <w:rPr>
      <w:rFonts w:eastAsia="宋体"/>
      <w:kern w:val="2"/>
      <w:sz w:val="21"/>
      <w:szCs w:val="24"/>
      <w:lang w:val="en-US" w:eastAsia="zh-CN" w:bidi="ar-SA"/>
    </w:rPr>
  </w:style>
  <w:style w:type="character" w:customStyle="1" w:styleId="386">
    <w:name w:val="标题 6 Char"/>
    <w:qFormat/>
    <w:uiPriority w:val="0"/>
    <w:rPr>
      <w:rFonts w:ascii="Arial" w:hAnsi="Arial" w:eastAsia="黑体"/>
      <w:b/>
      <w:bCs/>
      <w:kern w:val="2"/>
      <w:sz w:val="24"/>
      <w:szCs w:val="24"/>
      <w:lang w:val="en-US" w:eastAsia="zh-CN" w:bidi="ar-SA"/>
    </w:rPr>
  </w:style>
  <w:style w:type="character" w:customStyle="1" w:styleId="387">
    <w:name w:val="副标题 Char"/>
    <w:link w:val="49"/>
    <w:qFormat/>
    <w:uiPriority w:val="0"/>
    <w:rPr>
      <w:rFonts w:ascii="Tahoma" w:hAnsi="@宋体" w:eastAsia="Tahoma"/>
      <w:kern w:val="28"/>
      <w:sz w:val="24"/>
      <w:szCs w:val="24"/>
      <w:lang w:bidi="ar-SA"/>
    </w:rPr>
  </w:style>
  <w:style w:type="character" w:customStyle="1" w:styleId="388">
    <w:name w:val="Char Char16"/>
    <w:qFormat/>
    <w:uiPriority w:val="0"/>
    <w:rPr>
      <w:rFonts w:ascii="Calibri" w:hAnsi="Calibri" w:eastAsia="宋体"/>
      <w:b/>
      <w:bCs/>
      <w:kern w:val="2"/>
      <w:sz w:val="28"/>
      <w:szCs w:val="28"/>
      <w:lang w:bidi="ar-SA"/>
    </w:rPr>
  </w:style>
  <w:style w:type="character" w:customStyle="1" w:styleId="389">
    <w:name w:val="Char Char"/>
    <w:qFormat/>
    <w:uiPriority w:val="0"/>
    <w:rPr>
      <w:rFonts w:eastAsia="宋体"/>
      <w:b/>
      <w:bCs/>
      <w:kern w:val="44"/>
      <w:sz w:val="44"/>
      <w:szCs w:val="44"/>
      <w:lang w:val="en-US" w:eastAsia="zh-CN" w:bidi="ar-SA"/>
    </w:rPr>
  </w:style>
  <w:style w:type="character" w:customStyle="1" w:styleId="390">
    <w:name w:val="标题 2 Char Char"/>
    <w:qFormat/>
    <w:uiPriority w:val="0"/>
    <w:rPr>
      <w:rFonts w:ascii="Arial" w:hAnsi="Arial" w:eastAsia="黑体"/>
      <w:b/>
      <w:kern w:val="2"/>
      <w:sz w:val="32"/>
    </w:rPr>
  </w:style>
  <w:style w:type="character" w:customStyle="1" w:styleId="391">
    <w:name w:val="批注引用_0"/>
    <w:qFormat/>
    <w:uiPriority w:val="0"/>
    <w:rPr>
      <w:sz w:val="21"/>
    </w:rPr>
  </w:style>
  <w:style w:type="character" w:customStyle="1" w:styleId="392">
    <w:name w:val="标题 5 Char"/>
    <w:qFormat/>
    <w:uiPriority w:val="0"/>
    <w:rPr>
      <w:rFonts w:eastAsia="宋体"/>
      <w:b/>
      <w:bCs/>
      <w:kern w:val="2"/>
      <w:sz w:val="28"/>
      <w:szCs w:val="28"/>
      <w:lang w:val="en-US" w:eastAsia="zh-CN" w:bidi="ar-SA"/>
    </w:rPr>
  </w:style>
  <w:style w:type="character" w:customStyle="1" w:styleId="393">
    <w:name w:val="Char Char41"/>
    <w:qFormat/>
    <w:uiPriority w:val="0"/>
    <w:rPr>
      <w:rFonts w:ascii="Times New Roman" w:hAnsi="Times New Roman"/>
      <w:b/>
      <w:kern w:val="2"/>
      <w:sz w:val="32"/>
    </w:rPr>
  </w:style>
  <w:style w:type="character" w:customStyle="1" w:styleId="394">
    <w:name w:val="Char Char36"/>
    <w:qFormat/>
    <w:uiPriority w:val="0"/>
    <w:rPr>
      <w:rFonts w:ascii="Arial" w:hAnsi="Arial" w:eastAsia="黑体"/>
      <w:sz w:val="24"/>
    </w:rPr>
  </w:style>
  <w:style w:type="character" w:customStyle="1" w:styleId="395">
    <w:name w:val="页脚 Char1"/>
    <w:qFormat/>
    <w:uiPriority w:val="0"/>
    <w:rPr>
      <w:rFonts w:ascii="Times New Roman" w:hAnsi="Times New Roman"/>
      <w:kern w:val="2"/>
      <w:sz w:val="18"/>
      <w:szCs w:val="18"/>
    </w:rPr>
  </w:style>
  <w:style w:type="character" w:customStyle="1" w:styleId="396">
    <w:name w:val="font161"/>
    <w:qFormat/>
    <w:uiPriority w:val="0"/>
    <w:rPr>
      <w:b/>
      <w:bCs/>
      <w:sz w:val="32"/>
      <w:szCs w:val="32"/>
    </w:rPr>
  </w:style>
  <w:style w:type="character" w:customStyle="1" w:styleId="397">
    <w:name w:val="Comment Text Char"/>
    <w:qFormat/>
    <w:locked/>
    <w:uiPriority w:val="0"/>
    <w:rPr>
      <w:rFonts w:ascii="Times New Roman" w:hAnsi="Times New Roman" w:eastAsia="宋体"/>
      <w:sz w:val="24"/>
    </w:rPr>
  </w:style>
  <w:style w:type="character" w:customStyle="1" w:styleId="398">
    <w:name w:val="apple-converted-space"/>
    <w:qFormat/>
    <w:uiPriority w:val="0"/>
  </w:style>
  <w:style w:type="character" w:customStyle="1" w:styleId="399">
    <w:name w:val="批注框文本 Char1"/>
    <w:link w:val="42"/>
    <w:qFormat/>
    <w:uiPriority w:val="0"/>
    <w:rPr>
      <w:rFonts w:ascii="Calibri" w:hAnsi="Calibri" w:eastAsia="宋体"/>
      <w:kern w:val="2"/>
      <w:sz w:val="18"/>
      <w:szCs w:val="18"/>
      <w:lang w:val="en-US" w:eastAsia="zh-CN" w:bidi="ar-SA"/>
    </w:rPr>
  </w:style>
  <w:style w:type="character" w:customStyle="1" w:styleId="400">
    <w:name w:val="页眉 Char Char"/>
    <w:qFormat/>
    <w:uiPriority w:val="0"/>
    <w:rPr>
      <w:rFonts w:ascii="Times New Roman" w:hAnsi="Times New Roman" w:eastAsia="宋体" w:cs="Times New Roman"/>
      <w:sz w:val="18"/>
      <w:szCs w:val="18"/>
    </w:rPr>
  </w:style>
  <w:style w:type="character" w:customStyle="1" w:styleId="401">
    <w:name w:val="Char Char4"/>
    <w:qFormat/>
    <w:uiPriority w:val="0"/>
    <w:rPr>
      <w:rFonts w:eastAsia="宋体"/>
      <w:sz w:val="18"/>
      <w:szCs w:val="18"/>
      <w:lang w:bidi="ar-SA"/>
    </w:rPr>
  </w:style>
  <w:style w:type="character" w:customStyle="1" w:styleId="402">
    <w:name w:val="Char Char51"/>
    <w:qFormat/>
    <w:uiPriority w:val="0"/>
    <w:rPr>
      <w:rFonts w:ascii="Arial" w:hAnsi="Arial" w:eastAsia="宋体"/>
      <w:b/>
      <w:sz w:val="32"/>
      <w:lang w:bidi="ar-SA"/>
    </w:rPr>
  </w:style>
  <w:style w:type="character" w:customStyle="1" w:styleId="403">
    <w:name w:val="正文文本 Char2"/>
    <w:link w:val="26"/>
    <w:qFormat/>
    <w:uiPriority w:val="0"/>
    <w:rPr>
      <w:rFonts w:eastAsia="黑体"/>
      <w:kern w:val="2"/>
      <w:sz w:val="44"/>
      <w:lang w:val="en-US" w:eastAsia="zh-CN" w:bidi="ar-SA"/>
    </w:rPr>
  </w:style>
  <w:style w:type="character" w:customStyle="1" w:styleId="404">
    <w:name w:val="标题 2 Char_0"/>
    <w:link w:val="165"/>
    <w:qFormat/>
    <w:uiPriority w:val="0"/>
    <w:rPr>
      <w:rFonts w:ascii="Arial" w:hAnsi="Arial" w:eastAsia="黑体"/>
      <w:b/>
      <w:sz w:val="32"/>
      <w:lang w:bidi="ar-SA"/>
    </w:rPr>
  </w:style>
  <w:style w:type="character" w:customStyle="1" w:styleId="405">
    <w:name w:val="Plain Text Char"/>
    <w:qFormat/>
    <w:uiPriority w:val="0"/>
    <w:rPr>
      <w:rFonts w:ascii="宋体" w:hAnsi="Courier New" w:eastAsia="宋体" w:cs="Times New Roman"/>
      <w:szCs w:val="20"/>
    </w:rPr>
  </w:style>
  <w:style w:type="character" w:customStyle="1" w:styleId="406">
    <w:name w:val="Char Char18"/>
    <w:qFormat/>
    <w:uiPriority w:val="0"/>
    <w:rPr>
      <w:rFonts w:eastAsia="宋体"/>
      <w:b/>
      <w:kern w:val="2"/>
      <w:sz w:val="32"/>
      <w:lang w:bidi="ar-SA"/>
    </w:rPr>
  </w:style>
  <w:style w:type="character" w:customStyle="1" w:styleId="407">
    <w:name w:val="Char Char8"/>
    <w:qFormat/>
    <w:uiPriority w:val="0"/>
    <w:rPr>
      <w:rFonts w:eastAsia="宋体"/>
      <w:kern w:val="2"/>
      <w:sz w:val="44"/>
      <w:szCs w:val="24"/>
      <w:lang w:bidi="ar-SA"/>
    </w:rPr>
  </w:style>
  <w:style w:type="character" w:customStyle="1" w:styleId="408">
    <w:name w:val="批注文字 Char"/>
    <w:qFormat/>
    <w:uiPriority w:val="0"/>
    <w:rPr>
      <w:kern w:val="2"/>
      <w:sz w:val="21"/>
      <w:szCs w:val="24"/>
      <w:lang w:bidi="ar-SA"/>
    </w:rPr>
  </w:style>
  <w:style w:type="character" w:customStyle="1" w:styleId="409">
    <w:name w:val="正文文本缩进 Char"/>
    <w:qFormat/>
    <w:uiPriority w:val="0"/>
    <w:rPr>
      <w:rFonts w:ascii="Times New Roman" w:hAnsi="Times New Roman" w:eastAsia="宋体" w:cs="Times New Roman"/>
      <w:szCs w:val="24"/>
    </w:rPr>
  </w:style>
  <w:style w:type="character" w:customStyle="1" w:styleId="410">
    <w:name w:val="Char Char39"/>
    <w:qFormat/>
    <w:uiPriority w:val="0"/>
    <w:rPr>
      <w:b/>
      <w:bCs/>
      <w:kern w:val="2"/>
      <w:sz w:val="28"/>
      <w:szCs w:val="28"/>
    </w:rPr>
  </w:style>
  <w:style w:type="character" w:customStyle="1" w:styleId="411">
    <w:name w:val="Char Char19"/>
    <w:qFormat/>
    <w:uiPriority w:val="0"/>
    <w:rPr>
      <w:rFonts w:ascii="Arial" w:hAnsi="Arial" w:eastAsia="黑体"/>
      <w:b/>
      <w:kern w:val="2"/>
      <w:sz w:val="32"/>
      <w:lang w:bidi="ar-SA"/>
    </w:rPr>
  </w:style>
  <w:style w:type="character" w:customStyle="1" w:styleId="412">
    <w:name w:val="Char Char10"/>
    <w:qFormat/>
    <w:uiPriority w:val="0"/>
    <w:rPr>
      <w:rFonts w:ascii="宋体" w:eastAsia="宋体"/>
      <w:sz w:val="24"/>
      <w:szCs w:val="24"/>
      <w:lang w:bidi="ar-SA"/>
    </w:rPr>
  </w:style>
  <w:style w:type="character" w:customStyle="1" w:styleId="413">
    <w:name w:val="页脚 Char2"/>
    <w:link w:val="43"/>
    <w:qFormat/>
    <w:uiPriority w:val="0"/>
    <w:rPr>
      <w:sz w:val="18"/>
      <w:szCs w:val="18"/>
    </w:rPr>
  </w:style>
  <w:style w:type="character" w:customStyle="1" w:styleId="414">
    <w:name w:val="Char Char43"/>
    <w:qFormat/>
    <w:uiPriority w:val="0"/>
    <w:rPr>
      <w:rFonts w:ascii="Times New Roman" w:hAnsi="Times New Roman"/>
      <w:b/>
      <w:kern w:val="44"/>
      <w:sz w:val="44"/>
    </w:rPr>
  </w:style>
  <w:style w:type="character" w:customStyle="1" w:styleId="415">
    <w:name w:val="正文文本 2 Char Char"/>
    <w:qFormat/>
    <w:uiPriority w:val="0"/>
    <w:rPr>
      <w:rFonts w:eastAsia="宋体"/>
      <w:kern w:val="2"/>
      <w:sz w:val="44"/>
      <w:szCs w:val="24"/>
      <w:lang w:val="en-US" w:eastAsia="zh-CN" w:bidi="ar-SA"/>
    </w:rPr>
  </w:style>
  <w:style w:type="character" w:customStyle="1" w:styleId="416">
    <w:name w:val="Char Char35"/>
    <w:qFormat/>
    <w:uiPriority w:val="0"/>
    <w:rPr>
      <w:rFonts w:ascii="Arial" w:hAnsi="Arial" w:eastAsia="黑体"/>
    </w:rPr>
  </w:style>
  <w:style w:type="character" w:customStyle="1" w:styleId="417">
    <w:name w:val="Char Char34"/>
    <w:qFormat/>
    <w:uiPriority w:val="0"/>
    <w:rPr>
      <w:rFonts w:ascii="Arial" w:hAnsi="Arial" w:cs="Arial"/>
      <w:b/>
      <w:sz w:val="32"/>
    </w:rPr>
  </w:style>
  <w:style w:type="character" w:customStyle="1" w:styleId="418">
    <w:name w:val="(C+F2) Char Char"/>
    <w:qFormat/>
    <w:uiPriority w:val="0"/>
    <w:rPr>
      <w:rFonts w:ascii="Arial" w:hAnsi="Arial" w:eastAsia="黑体"/>
      <w:b/>
      <w:bCs/>
      <w:kern w:val="2"/>
      <w:sz w:val="32"/>
      <w:szCs w:val="32"/>
      <w:lang w:val="en-US" w:eastAsia="zh-CN" w:bidi="ar-SA"/>
    </w:rPr>
  </w:style>
  <w:style w:type="character" w:customStyle="1" w:styleId="419">
    <w:name w:val="Char Char21"/>
    <w:qFormat/>
    <w:uiPriority w:val="0"/>
    <w:rPr>
      <w:rFonts w:ascii="Cambria" w:hAnsi="Cambria" w:eastAsia="宋体" w:cs="Times New Roman"/>
      <w:b/>
      <w:bCs/>
      <w:sz w:val="32"/>
      <w:szCs w:val="32"/>
    </w:rPr>
  </w:style>
  <w:style w:type="character" w:customStyle="1" w:styleId="420">
    <w:name w:val="Char Char44"/>
    <w:qFormat/>
    <w:uiPriority w:val="0"/>
    <w:rPr>
      <w:rFonts w:eastAsia="宋体"/>
      <w:b/>
      <w:bCs/>
      <w:kern w:val="44"/>
      <w:sz w:val="44"/>
      <w:szCs w:val="44"/>
      <w:lang w:val="en-US" w:eastAsia="zh-CN" w:bidi="ar-SA"/>
    </w:rPr>
  </w:style>
  <w:style w:type="character" w:customStyle="1" w:styleId="421">
    <w:name w:val="正文文本 3 Char1"/>
    <w:link w:val="24"/>
    <w:qFormat/>
    <w:uiPriority w:val="0"/>
    <w:rPr>
      <w:rFonts w:eastAsia="宋体"/>
      <w:kern w:val="2"/>
      <w:sz w:val="16"/>
      <w:szCs w:val="16"/>
      <w:lang w:val="en-US" w:eastAsia="zh-CN" w:bidi="ar-SA"/>
    </w:rPr>
  </w:style>
  <w:style w:type="character" w:customStyle="1" w:styleId="422">
    <w:name w:val="标题 3 Char_1"/>
    <w:link w:val="93"/>
    <w:qFormat/>
    <w:uiPriority w:val="0"/>
    <w:rPr>
      <w:rFonts w:eastAsia="宋体"/>
      <w:b/>
      <w:sz w:val="32"/>
      <w:lang w:bidi="ar-SA"/>
    </w:rPr>
  </w:style>
  <w:style w:type="character" w:customStyle="1" w:styleId="423">
    <w:name w:val="批注文字 Char Char"/>
    <w:qFormat/>
    <w:uiPriority w:val="0"/>
    <w:rPr>
      <w:rFonts w:ascii="Times New Roman" w:hAnsi="Times New Roman" w:eastAsia="宋体" w:cs="Times New Roman"/>
      <w:szCs w:val="24"/>
    </w:rPr>
  </w:style>
  <w:style w:type="character" w:customStyle="1" w:styleId="424">
    <w:name w:val="NormalCharacter"/>
    <w:semiHidden/>
    <w:qFormat/>
    <w:uiPriority w:val="0"/>
    <w:rPr>
      <w:rFonts w:ascii="Calibri" w:hAnsi="Calibri" w:eastAsia="宋体" w:cs="Times New Roman"/>
      <w:kern w:val="2"/>
      <w:sz w:val="24"/>
      <w:szCs w:val="22"/>
      <w:lang w:val="en-US" w:eastAsia="zh-CN" w:bidi="ar-SA"/>
    </w:rPr>
  </w:style>
  <w:style w:type="character" w:customStyle="1" w:styleId="425">
    <w:name w:val="font51"/>
    <w:basedOn w:val="68"/>
    <w:qFormat/>
    <w:uiPriority w:val="0"/>
    <w:rPr>
      <w:rFonts w:hint="eastAsia" w:ascii="宋体" w:hAnsi="宋体" w:eastAsia="宋体" w:cs="宋体"/>
      <w:color w:val="000000"/>
      <w:sz w:val="21"/>
      <w:szCs w:val="21"/>
      <w:u w:val="none"/>
    </w:rPr>
  </w:style>
  <w:style w:type="character" w:customStyle="1" w:styleId="426">
    <w:name w:val="font81"/>
    <w:basedOn w:val="68"/>
    <w:qFormat/>
    <w:uiPriority w:val="0"/>
    <w:rPr>
      <w:rFonts w:hint="default" w:ascii="Calibri" w:hAnsi="Calibri" w:cs="Calibri"/>
      <w:color w:val="000000"/>
      <w:sz w:val="21"/>
      <w:szCs w:val="21"/>
      <w:u w:val="none"/>
    </w:rPr>
  </w:style>
  <w:style w:type="character" w:customStyle="1" w:styleId="427">
    <w:name w:val="font61"/>
    <w:basedOn w:val="68"/>
    <w:qFormat/>
    <w:uiPriority w:val="0"/>
    <w:rPr>
      <w:rFonts w:hint="default" w:ascii="Calibri" w:hAnsi="Calibri" w:cs="Calibri"/>
      <w:color w:val="000000"/>
      <w:sz w:val="21"/>
      <w:szCs w:val="21"/>
      <w:u w:val="none"/>
      <w:vertAlign w:val="superscript"/>
    </w:rPr>
  </w:style>
  <w:style w:type="character" w:customStyle="1" w:styleId="428">
    <w:name w:val="font11"/>
    <w:basedOn w:val="68"/>
    <w:qFormat/>
    <w:uiPriority w:val="0"/>
    <w:rPr>
      <w:rFonts w:hint="eastAsia" w:ascii="宋体" w:hAnsi="宋体" w:eastAsia="宋体" w:cs="宋体"/>
      <w:color w:val="000000"/>
      <w:sz w:val="21"/>
      <w:szCs w:val="21"/>
      <w:u w:val="none"/>
    </w:rPr>
  </w:style>
  <w:style w:type="character" w:customStyle="1" w:styleId="429">
    <w:name w:val="font31"/>
    <w:basedOn w:val="68"/>
    <w:qFormat/>
    <w:uiPriority w:val="0"/>
    <w:rPr>
      <w:rFonts w:hint="eastAsia" w:ascii="宋体" w:hAnsi="宋体" w:eastAsia="宋体" w:cs="宋体"/>
      <w:color w:val="000000"/>
      <w:sz w:val="21"/>
      <w:szCs w:val="21"/>
      <w:u w:val="none"/>
      <w:vertAlign w:val="superscript"/>
    </w:rPr>
  </w:style>
  <w:style w:type="character" w:customStyle="1" w:styleId="430">
    <w:name w:val="font21"/>
    <w:basedOn w:val="68"/>
    <w:qFormat/>
    <w:uiPriority w:val="0"/>
    <w:rPr>
      <w:rFonts w:hint="default" w:ascii="Calibri" w:hAnsi="Calibri" w:cs="Calibri"/>
      <w:b/>
      <w:bCs/>
      <w:color w:val="000000"/>
      <w:sz w:val="18"/>
      <w:szCs w:val="18"/>
      <w:u w:val="none"/>
    </w:rPr>
  </w:style>
  <w:style w:type="character" w:customStyle="1" w:styleId="431">
    <w:name w:val="font41"/>
    <w:basedOn w:val="68"/>
    <w:qFormat/>
    <w:uiPriority w:val="0"/>
    <w:rPr>
      <w:rFonts w:hint="eastAsia" w:ascii="宋体" w:hAnsi="宋体" w:eastAsia="宋体" w:cs="宋体"/>
      <w:color w:val="000000"/>
      <w:sz w:val="18"/>
      <w:szCs w:val="18"/>
      <w:u w:val="none"/>
    </w:rPr>
  </w:style>
  <w:style w:type="character" w:customStyle="1" w:styleId="432">
    <w:name w:val="font91"/>
    <w:basedOn w:val="68"/>
    <w:qFormat/>
    <w:uiPriority w:val="0"/>
    <w:rPr>
      <w:rFonts w:hint="default" w:ascii="Calibri" w:hAnsi="Calibri" w:cs="Calibri"/>
      <w:color w:val="000000"/>
      <w:sz w:val="18"/>
      <w:szCs w:val="18"/>
      <w:u w:val="none"/>
      <w:vertAlign w:val="superscript"/>
    </w:rPr>
  </w:style>
  <w:style w:type="character" w:customStyle="1" w:styleId="433">
    <w:name w:val="font101"/>
    <w:basedOn w:val="68"/>
    <w:qFormat/>
    <w:uiPriority w:val="0"/>
    <w:rPr>
      <w:rFonts w:hint="eastAsia" w:ascii="宋体" w:hAnsi="宋体" w:eastAsia="宋体" w:cs="宋体"/>
      <w:color w:val="000000"/>
      <w:sz w:val="18"/>
      <w:szCs w:val="1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22353</Words>
  <Characters>24866</Characters>
  <Lines>259</Lines>
  <Paragraphs>73</Paragraphs>
  <TotalTime>10</TotalTime>
  <ScaleCrop>false</ScaleCrop>
  <LinksUpToDate>false</LinksUpToDate>
  <CharactersWithSpaces>27469</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2015-06-08T01:23:00Z</dcterms:created>
  <dc:creator>微软用户</dc:creator>
  <cp:lastModifiedBy>A</cp:lastModifiedBy>
  <cp:lastPrinted>2020-08-17T06:58:00Z</cp:lastPrinted>
  <dcterms:modified xsi:type="dcterms:W3CDTF">2022-04-07T08:37:14Z</dcterms:modified>
  <dc:title>询价函</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3AE7BC12CD7145DFA23C12F0B5B06E12</vt:lpwstr>
  </property>
</Properties>
</file>