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ink/ink1.xml" ContentType="application/inkml+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rPr>
          <w:rFonts w:eastAsia="仿宋"/>
          <w:sz w:val="44"/>
          <w:szCs w:val="44"/>
        </w:rPr>
      </w:pPr>
      <w:r>
        <w:rPr>
          <w:rFonts w:eastAsia="仿宋"/>
          <w:sz w:val="44"/>
          <w:szCs w:val="44"/>
        </w:rPr>
        <w:t>询价要求</w:t>
      </w:r>
      <w:bookmarkStart w:id="3" w:name="_GoBack"/>
      <w:bookmarkEnd w:id="3"/>
    </w:p>
    <w:p>
      <w:pPr>
        <w:pStyle w:val="3"/>
        <w:rPr>
          <w:rFonts w:eastAsia="仿宋"/>
          <w:sz w:val="44"/>
          <w:szCs w:val="44"/>
        </w:rPr>
      </w:pPr>
      <w:r>
        <w:rPr>
          <w:rFonts w:eastAsia="仿宋"/>
          <w:sz w:val="30"/>
          <w:szCs w:val="30"/>
        </w:rPr>
        <w:t>询价须知前附表</w:t>
      </w:r>
    </w:p>
    <w:tbl>
      <w:tblPr>
        <w:tblStyle w:val="5"/>
        <w:tblW w:w="8720"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886"/>
        <w:gridCol w:w="7834"/>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6" w:hRule="atLeast"/>
          <w:jc w:val="center"/>
        </w:trPr>
        <w:tc>
          <w:tcPr>
            <w:tcW w:w="886" w:type="dxa"/>
            <w:vAlign w:val="center"/>
          </w:tcPr>
          <w:p>
            <w:pPr>
              <w:spacing w:line="400" w:lineRule="exact"/>
              <w:jc w:val="center"/>
              <w:rPr>
                <w:b/>
                <w:color w:val="000000"/>
                <w:szCs w:val="21"/>
              </w:rPr>
            </w:pPr>
            <w:r>
              <w:rPr>
                <w:b/>
                <w:color w:val="000000"/>
                <w:szCs w:val="21"/>
              </w:rPr>
              <w:t>项 号</w:t>
            </w:r>
          </w:p>
        </w:tc>
        <w:tc>
          <w:tcPr>
            <w:tcW w:w="7834" w:type="dxa"/>
            <w:vAlign w:val="center"/>
          </w:tcPr>
          <w:p>
            <w:pPr>
              <w:spacing w:line="400" w:lineRule="exact"/>
              <w:jc w:val="center"/>
              <w:rPr>
                <w:b/>
                <w:color w:val="000000"/>
                <w:szCs w:val="21"/>
              </w:rPr>
            </w:pPr>
            <w:r>
              <w:rPr>
                <w:b/>
                <w:color w:val="000000"/>
                <w:szCs w:val="21"/>
              </w:rPr>
              <w:t>内        容</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69" w:hRule="atLeast"/>
          <w:jc w:val="center"/>
        </w:trPr>
        <w:tc>
          <w:tcPr>
            <w:tcW w:w="886" w:type="dxa"/>
            <w:vAlign w:val="center"/>
          </w:tcPr>
          <w:p>
            <w:pPr>
              <w:spacing w:line="400" w:lineRule="exact"/>
              <w:jc w:val="center"/>
              <w:rPr>
                <w:color w:val="000000"/>
                <w:szCs w:val="21"/>
              </w:rPr>
            </w:pPr>
            <w:r>
              <w:rPr>
                <w:color w:val="000000"/>
                <w:szCs w:val="21"/>
              </w:rPr>
              <w:t>1</w:t>
            </w:r>
          </w:p>
        </w:tc>
        <w:tc>
          <w:tcPr>
            <w:tcW w:w="7834" w:type="dxa"/>
            <w:vAlign w:val="center"/>
          </w:tcPr>
          <w:p>
            <w:pPr>
              <w:jc w:val="left"/>
              <w:rPr>
                <w:rFonts w:eastAsia="仿宋"/>
                <w:b/>
                <w:sz w:val="24"/>
              </w:rPr>
            </w:pPr>
            <w:r>
              <w:rPr>
                <w:color w:val="000000"/>
                <w:szCs w:val="21"/>
              </w:rPr>
              <w:t>项目名称：</w:t>
            </w:r>
            <w:r>
              <w:rPr>
                <w:szCs w:val="21"/>
              </w:rPr>
              <w:t>江西省新余市渝水区良山23.1MW风电项目技术尽职调查服务采购项目。</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2" w:hRule="atLeast"/>
          <w:jc w:val="center"/>
        </w:trPr>
        <w:tc>
          <w:tcPr>
            <w:tcW w:w="886" w:type="dxa"/>
            <w:vAlign w:val="center"/>
          </w:tcPr>
          <w:p>
            <w:pPr>
              <w:spacing w:line="400" w:lineRule="exact"/>
              <w:jc w:val="center"/>
              <w:rPr>
                <w:color w:val="000000"/>
                <w:szCs w:val="21"/>
              </w:rPr>
            </w:pPr>
            <w:r>
              <w:rPr>
                <w:color w:val="000000"/>
                <w:szCs w:val="21"/>
              </w:rPr>
              <w:t>2</w:t>
            </w:r>
          </w:p>
        </w:tc>
        <w:tc>
          <w:tcPr>
            <w:tcW w:w="7834" w:type="dxa"/>
            <w:vAlign w:val="center"/>
          </w:tcPr>
          <w:p>
            <w:pPr>
              <w:autoSpaceDE w:val="0"/>
              <w:autoSpaceDN w:val="0"/>
              <w:adjustRightInd w:val="0"/>
              <w:snapToGrid w:val="0"/>
              <w:spacing w:line="400" w:lineRule="exact"/>
              <w:ind w:left="-51"/>
              <w:textAlignment w:val="bottom"/>
              <w:rPr>
                <w:color w:val="000000"/>
                <w:szCs w:val="21"/>
              </w:rPr>
            </w:pPr>
            <w:r>
              <w:rPr>
                <w:color w:val="000000"/>
                <w:szCs w:val="21"/>
              </w:rPr>
              <w:t>采购人名称：</w:t>
            </w:r>
            <w:r>
              <w:rPr>
                <w:szCs w:val="21"/>
              </w:rPr>
              <w:t>江西省高速电建新能源有限责任公司。</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79" w:hRule="atLeast"/>
          <w:jc w:val="center"/>
        </w:trPr>
        <w:tc>
          <w:tcPr>
            <w:tcW w:w="886" w:type="dxa"/>
            <w:vAlign w:val="center"/>
          </w:tcPr>
          <w:p>
            <w:pPr>
              <w:spacing w:line="400" w:lineRule="exact"/>
              <w:jc w:val="center"/>
              <w:rPr>
                <w:color w:val="000000"/>
                <w:szCs w:val="21"/>
              </w:rPr>
            </w:pPr>
            <w:r>
              <w:rPr>
                <w:color w:val="000000"/>
                <w:szCs w:val="21"/>
              </w:rPr>
              <w:t>3</w:t>
            </w:r>
          </w:p>
        </w:tc>
        <w:tc>
          <w:tcPr>
            <w:tcW w:w="7834" w:type="dxa"/>
            <w:vAlign w:val="center"/>
          </w:tcPr>
          <w:p>
            <w:pPr>
              <w:spacing w:line="400" w:lineRule="exact"/>
              <w:rPr>
                <w:b/>
                <w:szCs w:val="21"/>
              </w:rPr>
            </w:pPr>
            <w:r>
              <w:rPr>
                <w:b/>
                <w:szCs w:val="21"/>
              </w:rPr>
              <w:t>响应人要求澄清的截止时间：</w:t>
            </w:r>
            <w:r>
              <w:rPr>
                <w:b/>
                <w:szCs w:val="21"/>
                <w:u w:val="single"/>
              </w:rPr>
              <w:t>2022</w:t>
            </w:r>
            <w:r>
              <w:rPr>
                <w:b/>
                <w:szCs w:val="21"/>
              </w:rPr>
              <w:t xml:space="preserve">年 </w:t>
            </w:r>
            <w:r>
              <w:rPr>
                <w:b/>
                <w:szCs w:val="21"/>
                <w:u w:val="single"/>
              </w:rPr>
              <w:t>8</w:t>
            </w:r>
            <w:r>
              <w:rPr>
                <w:b/>
                <w:szCs w:val="21"/>
              </w:rPr>
              <w:t xml:space="preserve"> 月 </w:t>
            </w:r>
            <w:r>
              <w:rPr>
                <w:rFonts w:hint="eastAsia"/>
                <w:b/>
                <w:szCs w:val="21"/>
                <w:u w:val="single"/>
                <w:lang w:val="en-US" w:eastAsia="zh-CN"/>
              </w:rPr>
              <w:t>3</w:t>
            </w:r>
            <w:r>
              <w:rPr>
                <w:b/>
                <w:szCs w:val="21"/>
              </w:rPr>
              <w:t xml:space="preserve"> 日16:00之前。</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9" w:hRule="atLeast"/>
          <w:jc w:val="center"/>
        </w:trPr>
        <w:tc>
          <w:tcPr>
            <w:tcW w:w="886" w:type="dxa"/>
            <w:vAlign w:val="center"/>
          </w:tcPr>
          <w:p>
            <w:pPr>
              <w:spacing w:line="400" w:lineRule="exact"/>
              <w:jc w:val="center"/>
              <w:rPr>
                <w:color w:val="000000"/>
                <w:szCs w:val="21"/>
              </w:rPr>
            </w:pPr>
            <w:r>
              <w:rPr>
                <w:color w:val="000000"/>
                <w:szCs w:val="21"/>
              </w:rPr>
              <w:t>4</w:t>
            </w:r>
          </w:p>
        </w:tc>
        <w:tc>
          <w:tcPr>
            <w:tcW w:w="7834" w:type="dxa"/>
            <w:vAlign w:val="center"/>
          </w:tcPr>
          <w:p>
            <w:pPr>
              <w:spacing w:line="400" w:lineRule="exact"/>
              <w:rPr>
                <w:b/>
                <w:szCs w:val="21"/>
              </w:rPr>
            </w:pPr>
            <w:r>
              <w:rPr>
                <w:b/>
                <w:szCs w:val="21"/>
              </w:rPr>
              <w:t>采购人澄清或修改的截止时间：</w:t>
            </w:r>
            <w:r>
              <w:rPr>
                <w:b/>
                <w:szCs w:val="21"/>
                <w:u w:val="single"/>
              </w:rPr>
              <w:t>2022</w:t>
            </w:r>
            <w:r>
              <w:rPr>
                <w:b/>
                <w:szCs w:val="21"/>
              </w:rPr>
              <w:t xml:space="preserve">年 </w:t>
            </w:r>
            <w:r>
              <w:rPr>
                <w:rFonts w:hint="eastAsia"/>
                <w:b/>
                <w:szCs w:val="21"/>
                <w:u w:val="single"/>
                <w:lang w:val="en-US" w:eastAsia="zh-CN"/>
              </w:rPr>
              <w:t>8</w:t>
            </w:r>
            <w:r>
              <w:rPr>
                <w:b/>
                <w:szCs w:val="21"/>
              </w:rPr>
              <w:t xml:space="preserve"> 月 </w:t>
            </w:r>
            <w:r>
              <w:rPr>
                <w:b/>
                <w:szCs w:val="21"/>
                <w:u w:val="single"/>
              </w:rPr>
              <w:t>1</w:t>
            </w:r>
            <w:r>
              <w:rPr>
                <w:b/>
                <w:szCs w:val="21"/>
              </w:rPr>
              <w:t xml:space="preserve"> 日16:00之前。</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74" w:hRule="atLeast"/>
          <w:jc w:val="center"/>
        </w:trPr>
        <w:tc>
          <w:tcPr>
            <w:tcW w:w="886" w:type="dxa"/>
            <w:vAlign w:val="center"/>
          </w:tcPr>
          <w:p>
            <w:pPr>
              <w:spacing w:line="400" w:lineRule="exact"/>
              <w:jc w:val="center"/>
              <w:rPr>
                <w:color w:val="000000"/>
                <w:szCs w:val="21"/>
              </w:rPr>
            </w:pPr>
            <w:r>
              <w:rPr>
                <w:color w:val="000000"/>
                <w:szCs w:val="21"/>
              </w:rPr>
              <w:t>5</w:t>
            </w:r>
          </w:p>
        </w:tc>
        <w:tc>
          <w:tcPr>
            <w:tcW w:w="7834" w:type="dxa"/>
            <w:vAlign w:val="center"/>
          </w:tcPr>
          <w:p>
            <w:pPr>
              <w:spacing w:line="400" w:lineRule="exact"/>
              <w:rPr>
                <w:b/>
                <w:szCs w:val="21"/>
              </w:rPr>
            </w:pPr>
            <w:r>
              <w:rPr>
                <w:b/>
                <w:szCs w:val="21"/>
              </w:rPr>
              <w:t>最高成交限价</w:t>
            </w:r>
            <w:r>
              <w:rPr>
                <w:rFonts w:eastAsia="仿宋"/>
                <w:sz w:val="28"/>
                <w:szCs w:val="28"/>
                <w:u w:val="single"/>
              </w:rPr>
              <w:t xml:space="preserve">  </w:t>
            </w:r>
            <w:r>
              <w:rPr>
                <w:b/>
                <w:szCs w:val="21"/>
                <w:u w:val="single"/>
              </w:rPr>
              <w:t>2</w:t>
            </w:r>
            <w:r>
              <w:rPr>
                <w:rFonts w:hint="eastAsia"/>
                <w:b/>
                <w:szCs w:val="21"/>
                <w:u w:val="single"/>
                <w:lang w:val="en-US" w:eastAsia="zh-CN"/>
              </w:rPr>
              <w:t>7</w:t>
            </w:r>
            <w:r>
              <w:rPr>
                <w:b/>
                <w:szCs w:val="21"/>
                <w:u w:val="single"/>
              </w:rPr>
              <w:t xml:space="preserve"> </w:t>
            </w:r>
            <w:r>
              <w:rPr>
                <w:rFonts w:eastAsia="仿宋"/>
                <w:sz w:val="28"/>
                <w:szCs w:val="28"/>
                <w:u w:val="single"/>
              </w:rPr>
              <w:t xml:space="preserve">  </w:t>
            </w:r>
            <w:r>
              <w:rPr>
                <w:b/>
                <w:szCs w:val="21"/>
              </w:rPr>
              <w:t>万元人民币。</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63" w:hRule="atLeast"/>
          <w:jc w:val="center"/>
        </w:trPr>
        <w:tc>
          <w:tcPr>
            <w:tcW w:w="886" w:type="dxa"/>
            <w:vAlign w:val="center"/>
          </w:tcPr>
          <w:p>
            <w:pPr>
              <w:spacing w:line="400" w:lineRule="exact"/>
              <w:jc w:val="center"/>
              <w:rPr>
                <w:color w:val="000000"/>
                <w:szCs w:val="21"/>
              </w:rPr>
            </w:pPr>
            <w:r>
              <w:rPr>
                <w:color w:val="000000"/>
                <w:szCs w:val="21"/>
              </w:rPr>
              <w:t>6</w:t>
            </w:r>
          </w:p>
        </w:tc>
        <w:tc>
          <w:tcPr>
            <w:tcW w:w="7834" w:type="dxa"/>
            <w:vAlign w:val="center"/>
          </w:tcPr>
          <w:p>
            <w:pPr>
              <w:spacing w:line="400" w:lineRule="exact"/>
              <w:rPr>
                <w:szCs w:val="21"/>
              </w:rPr>
            </w:pPr>
            <w:r>
              <w:rPr>
                <w:b/>
                <w:szCs w:val="21"/>
              </w:rPr>
              <w:t>响应文件应用不褪色的墨水书写或打印，</w:t>
            </w:r>
            <w:r>
              <w:rPr>
                <w:szCs w:val="21"/>
              </w:rPr>
              <w:t>由响应人的法定代表人或其授权的代理人在指定页签署姓名且加盖公章，未按要求签署姓名且加盖公章的，其响应文件将无效处理。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15" w:hRule="atLeast"/>
          <w:jc w:val="center"/>
        </w:trPr>
        <w:tc>
          <w:tcPr>
            <w:tcW w:w="886" w:type="dxa"/>
            <w:vAlign w:val="center"/>
          </w:tcPr>
          <w:p>
            <w:pPr>
              <w:spacing w:line="400" w:lineRule="exact"/>
              <w:jc w:val="center"/>
              <w:rPr>
                <w:color w:val="000000"/>
                <w:szCs w:val="21"/>
              </w:rPr>
            </w:pPr>
            <w:r>
              <w:rPr>
                <w:color w:val="000000"/>
                <w:szCs w:val="21"/>
              </w:rPr>
              <w:t>7</w:t>
            </w:r>
          </w:p>
        </w:tc>
        <w:tc>
          <w:tcPr>
            <w:tcW w:w="7834" w:type="dxa"/>
            <w:vAlign w:val="center"/>
          </w:tcPr>
          <w:p>
            <w:pPr>
              <w:spacing w:line="400" w:lineRule="exact"/>
              <w:rPr>
                <w:szCs w:val="21"/>
              </w:rPr>
            </w:pPr>
            <w:r>
              <w:rPr>
                <w:color w:val="000000"/>
                <w:szCs w:val="21"/>
              </w:rPr>
              <w:t>响应文件份数：正本一份，副本一份。</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77" w:hRule="atLeast"/>
          <w:jc w:val="center"/>
        </w:trPr>
        <w:tc>
          <w:tcPr>
            <w:tcW w:w="886" w:type="dxa"/>
            <w:vAlign w:val="center"/>
          </w:tcPr>
          <w:p>
            <w:pPr>
              <w:spacing w:line="400" w:lineRule="exact"/>
              <w:jc w:val="center"/>
              <w:rPr>
                <w:color w:val="000000"/>
                <w:szCs w:val="21"/>
              </w:rPr>
            </w:pPr>
            <w:r>
              <w:rPr>
                <w:color w:val="000000"/>
                <w:szCs w:val="21"/>
              </w:rPr>
              <w:t>8</w:t>
            </w:r>
          </w:p>
        </w:tc>
        <w:tc>
          <w:tcPr>
            <w:tcW w:w="7834" w:type="dxa"/>
            <w:vAlign w:val="center"/>
          </w:tcPr>
          <w:p>
            <w:pPr>
              <w:spacing w:line="400" w:lineRule="exact"/>
              <w:rPr>
                <w:szCs w:val="21"/>
              </w:rPr>
            </w:pPr>
            <w:r>
              <w:rPr>
                <w:szCs w:val="21"/>
              </w:rPr>
              <w:t>响应文件递交截止时间：</w:t>
            </w:r>
            <w:r>
              <w:rPr>
                <w:szCs w:val="21"/>
                <w:u w:val="single"/>
              </w:rPr>
              <w:t>2022</w:t>
            </w:r>
            <w:r>
              <w:rPr>
                <w:szCs w:val="21"/>
              </w:rPr>
              <w:t>年</w:t>
            </w:r>
            <w:r>
              <w:rPr>
                <w:rFonts w:eastAsia="仿宋"/>
                <w:szCs w:val="21"/>
                <w:u w:val="single"/>
              </w:rPr>
              <w:t xml:space="preserve">  8 </w:t>
            </w:r>
            <w:r>
              <w:rPr>
                <w:szCs w:val="21"/>
              </w:rPr>
              <w:t>月</w:t>
            </w:r>
            <w:r>
              <w:rPr>
                <w:szCs w:val="21"/>
                <w:u w:val="single"/>
              </w:rPr>
              <w:t xml:space="preserve"> </w:t>
            </w:r>
            <w:r>
              <w:rPr>
                <w:rFonts w:hint="eastAsia" w:eastAsia="仿宋"/>
                <w:szCs w:val="21"/>
                <w:u w:val="single"/>
                <w:lang w:val="en-US" w:eastAsia="zh-CN"/>
              </w:rPr>
              <w:t>4</w:t>
            </w:r>
            <w:r>
              <w:rPr>
                <w:rFonts w:eastAsia="仿宋"/>
                <w:szCs w:val="21"/>
                <w:u w:val="single"/>
              </w:rPr>
              <w:t xml:space="preserve"> </w:t>
            </w:r>
            <w:r>
              <w:rPr>
                <w:szCs w:val="21"/>
              </w:rPr>
              <w:t>日</w:t>
            </w:r>
            <w:r>
              <w:rPr>
                <w:szCs w:val="21"/>
                <w:u w:val="single"/>
              </w:rPr>
              <w:t>14</w:t>
            </w:r>
            <w:r>
              <w:rPr>
                <w:szCs w:val="21"/>
              </w:rPr>
              <w:t>时</w:t>
            </w:r>
            <w:r>
              <w:rPr>
                <w:szCs w:val="21"/>
                <w:u w:val="single"/>
              </w:rPr>
              <w:t>00</w:t>
            </w:r>
            <w:r>
              <w:rPr>
                <w:szCs w:val="21"/>
              </w:rPr>
              <w:t>分。</w:t>
            </w:r>
          </w:p>
          <w:p>
            <w:pPr>
              <w:spacing w:line="400" w:lineRule="exact"/>
              <w:rPr>
                <w:szCs w:val="21"/>
              </w:rPr>
            </w:pPr>
            <w:r>
              <w:rPr>
                <w:szCs w:val="21"/>
              </w:rPr>
              <w:t>响应文件递交地址：江西省南昌市西湖区广场南路136号交通物资大楼3楼。</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18" w:hRule="atLeast"/>
          <w:jc w:val="center"/>
        </w:trPr>
        <w:tc>
          <w:tcPr>
            <w:tcW w:w="886" w:type="dxa"/>
            <w:vAlign w:val="center"/>
          </w:tcPr>
          <w:p>
            <w:pPr>
              <w:autoSpaceDE w:val="0"/>
              <w:autoSpaceDN w:val="0"/>
              <w:adjustRightInd w:val="0"/>
              <w:snapToGrid w:val="0"/>
              <w:spacing w:line="400" w:lineRule="exact"/>
              <w:jc w:val="center"/>
              <w:textAlignment w:val="bottom"/>
              <w:rPr>
                <w:color w:val="000000"/>
                <w:szCs w:val="21"/>
              </w:rPr>
            </w:pPr>
            <w:r>
              <w:rPr>
                <w:color w:val="000000"/>
                <w:szCs w:val="21"/>
              </w:rPr>
              <w:t>9</w:t>
            </w:r>
          </w:p>
        </w:tc>
        <w:tc>
          <w:tcPr>
            <w:tcW w:w="7834" w:type="dxa"/>
          </w:tcPr>
          <w:p>
            <w:pPr>
              <w:spacing w:line="400" w:lineRule="exact"/>
              <w:rPr>
                <w:szCs w:val="21"/>
              </w:rPr>
            </w:pPr>
            <w:r>
              <w:rPr>
                <w:szCs w:val="21"/>
              </w:rPr>
              <w:t>响应文件开启时间：</w:t>
            </w:r>
            <w:r>
              <w:rPr>
                <w:szCs w:val="21"/>
                <w:u w:val="single"/>
              </w:rPr>
              <w:t>2022</w:t>
            </w:r>
            <w:r>
              <w:rPr>
                <w:szCs w:val="21"/>
              </w:rPr>
              <w:t>年</w:t>
            </w:r>
            <w:r>
              <w:rPr>
                <w:rFonts w:eastAsia="仿宋"/>
                <w:szCs w:val="21"/>
                <w:u w:val="single"/>
              </w:rPr>
              <w:t xml:space="preserve"> 8  </w:t>
            </w:r>
            <w:r>
              <w:rPr>
                <w:szCs w:val="21"/>
              </w:rPr>
              <w:t>月</w:t>
            </w:r>
            <w:r>
              <w:rPr>
                <w:rFonts w:eastAsia="仿宋"/>
                <w:szCs w:val="21"/>
                <w:u w:val="single"/>
              </w:rPr>
              <w:t xml:space="preserve"> </w:t>
            </w:r>
            <w:r>
              <w:rPr>
                <w:rFonts w:hint="eastAsia" w:eastAsia="仿宋"/>
                <w:szCs w:val="21"/>
                <w:u w:val="single"/>
                <w:lang w:val="en-US" w:eastAsia="zh-CN"/>
              </w:rPr>
              <w:t>4</w:t>
            </w:r>
            <w:r>
              <w:rPr>
                <w:rFonts w:eastAsia="仿宋"/>
                <w:szCs w:val="21"/>
                <w:u w:val="single"/>
              </w:rPr>
              <w:t xml:space="preserve"> </w:t>
            </w:r>
            <w:r>
              <w:rPr>
                <w:szCs w:val="21"/>
              </w:rPr>
              <w:t>日</w:t>
            </w:r>
            <w:r>
              <w:rPr>
                <w:szCs w:val="21"/>
                <w:u w:val="single"/>
              </w:rPr>
              <w:t>14</w:t>
            </w:r>
            <w:r>
              <w:rPr>
                <w:szCs w:val="21"/>
              </w:rPr>
              <w:t>时</w:t>
            </w:r>
            <w:r>
              <w:rPr>
                <w:szCs w:val="21"/>
                <w:u w:val="single"/>
              </w:rPr>
              <w:t>30</w:t>
            </w:r>
            <w:r>
              <w:rPr>
                <w:szCs w:val="21"/>
              </w:rPr>
              <w:t>分。</w:t>
            </w:r>
          </w:p>
          <w:p>
            <w:pPr>
              <w:adjustRightInd w:val="0"/>
              <w:snapToGrid w:val="0"/>
              <w:spacing w:line="400" w:lineRule="exact"/>
              <w:rPr>
                <w:szCs w:val="21"/>
              </w:rPr>
            </w:pPr>
            <w:r>
              <w:rPr>
                <w:szCs w:val="21"/>
              </w:rPr>
              <w:t>响应文件开启地点：江西省南昌市西湖区广场南路136号交通物资大楼3楼。</w:t>
            </w:r>
          </w:p>
        </w:tc>
      </w:tr>
    </w:tbl>
    <w:p>
      <w:pPr>
        <w:ind w:firstLine="560" w:firstLineChars="200"/>
        <w:rPr>
          <w:rFonts w:eastAsia="仿宋"/>
          <w:sz w:val="28"/>
          <w:szCs w:val="28"/>
        </w:rPr>
      </w:pPr>
    </w:p>
    <w:p>
      <w:pPr>
        <w:ind w:firstLine="643" w:firstLineChars="200"/>
        <w:rPr>
          <w:rFonts w:eastAsia="仿宋"/>
          <w:b/>
          <w:sz w:val="32"/>
          <w:szCs w:val="32"/>
        </w:rPr>
      </w:pPr>
    </w:p>
    <w:p>
      <w:pPr>
        <w:ind w:firstLine="643" w:firstLineChars="200"/>
        <w:rPr>
          <w:rFonts w:eastAsia="仿宋"/>
          <w:b/>
          <w:sz w:val="32"/>
          <w:szCs w:val="32"/>
        </w:rPr>
      </w:pPr>
    </w:p>
    <w:p>
      <w:pPr>
        <w:ind w:firstLine="643" w:firstLineChars="200"/>
        <w:rPr>
          <w:rFonts w:eastAsia="仿宋"/>
          <w:b/>
          <w:sz w:val="32"/>
          <w:szCs w:val="32"/>
        </w:rPr>
      </w:pPr>
    </w:p>
    <w:p>
      <w:pPr>
        <w:rPr>
          <w:rFonts w:eastAsia="仿宋"/>
          <w:b/>
          <w:sz w:val="32"/>
          <w:szCs w:val="32"/>
        </w:rPr>
      </w:pPr>
    </w:p>
    <w:p>
      <w:pPr>
        <w:rPr>
          <w:rFonts w:eastAsia="仿宋"/>
          <w:b/>
          <w:sz w:val="32"/>
          <w:szCs w:val="32"/>
        </w:rPr>
      </w:pPr>
    </w:p>
    <w:p>
      <w:pPr>
        <w:ind w:firstLine="643" w:firstLineChars="200"/>
        <w:rPr>
          <w:rFonts w:eastAsia="仿宋"/>
          <w:b/>
          <w:sz w:val="32"/>
          <w:szCs w:val="32"/>
        </w:rPr>
      </w:pPr>
      <w:r>
        <w:rPr>
          <w:rFonts w:eastAsia="仿宋"/>
          <w:b/>
          <w:sz w:val="32"/>
          <w:szCs w:val="32"/>
        </w:rPr>
        <w:t>1总则</w:t>
      </w:r>
    </w:p>
    <w:p>
      <w:pPr>
        <w:ind w:firstLine="602" w:firstLineChars="200"/>
        <w:rPr>
          <w:rFonts w:eastAsia="仿宋"/>
          <w:b/>
          <w:sz w:val="30"/>
          <w:szCs w:val="30"/>
        </w:rPr>
      </w:pPr>
      <w:r>
        <w:rPr>
          <w:rFonts w:eastAsia="仿宋"/>
          <w:b/>
          <w:sz w:val="30"/>
          <w:szCs w:val="30"/>
        </w:rPr>
        <w:t>1.1定义</w:t>
      </w:r>
    </w:p>
    <w:p>
      <w:pPr>
        <w:spacing w:line="560" w:lineRule="exact"/>
        <w:ind w:firstLine="560" w:firstLineChars="200"/>
        <w:rPr>
          <w:rFonts w:eastAsia="仿宋"/>
          <w:sz w:val="28"/>
          <w:szCs w:val="28"/>
        </w:rPr>
      </w:pPr>
      <w:r>
        <w:rPr>
          <w:rFonts w:eastAsia="仿宋"/>
          <w:sz w:val="28"/>
          <w:szCs w:val="28"/>
        </w:rPr>
        <w:t>1.1.1  本询价文件仅适用于江西省新余市渝水区良山23.1MW风电项目技术尽职调查服务采购项目。</w:t>
      </w:r>
    </w:p>
    <w:p>
      <w:pPr>
        <w:spacing w:line="560" w:lineRule="exact"/>
        <w:ind w:firstLine="560" w:firstLineChars="200"/>
        <w:rPr>
          <w:rFonts w:eastAsia="仿宋"/>
          <w:sz w:val="28"/>
          <w:szCs w:val="28"/>
        </w:rPr>
      </w:pPr>
      <w:bookmarkStart w:id="0" w:name="_Toc65637146"/>
      <w:r>
        <w:rPr>
          <w:rFonts w:eastAsia="仿宋"/>
          <w:sz w:val="28"/>
          <w:szCs w:val="28"/>
        </w:rPr>
        <w:t>1.1.2</w:t>
      </w:r>
      <w:bookmarkEnd w:id="0"/>
      <w:r>
        <w:rPr>
          <w:rFonts w:eastAsia="仿宋"/>
          <w:sz w:val="28"/>
          <w:szCs w:val="28"/>
        </w:rPr>
        <w:t xml:space="preserve"> “采购人”系指江西省高速电建新能源有限责任公司。</w:t>
      </w:r>
    </w:p>
    <w:p>
      <w:pPr>
        <w:spacing w:line="560" w:lineRule="exact"/>
        <w:ind w:firstLine="560" w:firstLineChars="200"/>
        <w:rPr>
          <w:rFonts w:eastAsia="仿宋"/>
          <w:sz w:val="28"/>
          <w:szCs w:val="28"/>
        </w:rPr>
      </w:pPr>
      <w:r>
        <w:rPr>
          <w:rFonts w:eastAsia="仿宋"/>
          <w:sz w:val="28"/>
          <w:szCs w:val="28"/>
        </w:rPr>
        <w:t>1.1.3 “响应人”系指收到询价公告并响应本次采购，愿意提供本次风电并购项目技术尽职调查服务的法人或其他组织。</w:t>
      </w:r>
    </w:p>
    <w:p>
      <w:pPr>
        <w:spacing w:line="560" w:lineRule="exact"/>
        <w:ind w:firstLine="560" w:firstLineChars="200"/>
        <w:rPr>
          <w:rFonts w:eastAsia="仿宋"/>
          <w:sz w:val="28"/>
          <w:szCs w:val="28"/>
        </w:rPr>
      </w:pPr>
      <w:r>
        <w:rPr>
          <w:rFonts w:eastAsia="仿宋"/>
          <w:sz w:val="28"/>
          <w:szCs w:val="28"/>
        </w:rPr>
        <w:t>1.1.4 “成交服务商”系指通过响应人资格审查、形式与响应性审查，并且综合评分最高的成交候选人。</w:t>
      </w:r>
    </w:p>
    <w:p>
      <w:pPr>
        <w:spacing w:line="560" w:lineRule="exact"/>
        <w:ind w:firstLine="560" w:firstLineChars="200"/>
        <w:rPr>
          <w:rFonts w:eastAsia="仿宋"/>
          <w:sz w:val="28"/>
          <w:szCs w:val="28"/>
        </w:rPr>
      </w:pPr>
      <w:r>
        <w:rPr>
          <w:rFonts w:eastAsia="仿宋"/>
          <w:sz w:val="28"/>
          <w:szCs w:val="28"/>
        </w:rPr>
        <w:t>1.1.5 “工程”系指江西省新余市渝水区良山23.1MW风电项目。</w:t>
      </w:r>
    </w:p>
    <w:p>
      <w:pPr>
        <w:spacing w:line="560" w:lineRule="exact"/>
        <w:ind w:firstLine="560" w:firstLineChars="200"/>
        <w:rPr>
          <w:rFonts w:eastAsia="仿宋"/>
          <w:sz w:val="28"/>
          <w:szCs w:val="28"/>
        </w:rPr>
      </w:pPr>
      <w:r>
        <w:rPr>
          <w:rFonts w:eastAsia="仿宋"/>
          <w:sz w:val="28"/>
          <w:szCs w:val="28"/>
        </w:rPr>
        <w:t>1.1.6 “设备”系指江西省新余市渝水区良山23.1MW风电项目的机电设备、仪器装置及其他类似的设备和装置。</w:t>
      </w:r>
    </w:p>
    <w:p>
      <w:pPr>
        <w:spacing w:line="560" w:lineRule="exact"/>
        <w:ind w:firstLine="560" w:firstLineChars="200"/>
        <w:rPr>
          <w:rFonts w:eastAsia="仿宋"/>
          <w:sz w:val="28"/>
          <w:szCs w:val="28"/>
        </w:rPr>
      </w:pPr>
      <w:r>
        <w:rPr>
          <w:rFonts w:eastAsia="仿宋"/>
          <w:sz w:val="28"/>
          <w:szCs w:val="28"/>
        </w:rPr>
        <w:t>1.1.7 “服务”系指江西省新余市渝水区良山23.1MW风电项目技术尽职调查服务采购项目的文件和合同审核、项目设计文件评估、施工建设质量评估、电站性能测试及尽职调查报告（正式版），具体内容包括但不限于附件：《江西省新余市渝水区良山23.1MW风力发电站项目并购项目技术尽职调查服务内容》清单下列明的内容。</w:t>
      </w:r>
    </w:p>
    <w:p>
      <w:pPr>
        <w:spacing w:line="560" w:lineRule="exact"/>
        <w:ind w:firstLine="560" w:firstLineChars="200"/>
        <w:rPr>
          <w:rFonts w:eastAsia="仿宋"/>
          <w:sz w:val="28"/>
          <w:szCs w:val="28"/>
        </w:rPr>
      </w:pPr>
      <w:r>
        <w:rPr>
          <w:rFonts w:eastAsia="仿宋"/>
          <w:sz w:val="28"/>
          <w:szCs w:val="28"/>
        </w:rPr>
        <w:t>1.1.8调查依据</w:t>
      </w:r>
    </w:p>
    <w:p>
      <w:pPr>
        <w:spacing w:line="360" w:lineRule="auto"/>
        <w:ind w:firstLine="560" w:firstLineChars="200"/>
        <w:rPr>
          <w:rFonts w:eastAsia="仿宋"/>
          <w:sz w:val="28"/>
          <w:szCs w:val="28"/>
        </w:rPr>
      </w:pPr>
      <w:r>
        <w:rPr>
          <w:rFonts w:eastAsia="仿宋"/>
          <w:sz w:val="28"/>
          <w:szCs w:val="28"/>
        </w:rPr>
        <w:t>1）GB/T2828.1-2012 计数抽样检验程序第1部分：按接收质量限（AQL）检索的逐批检验抽样计划；</w:t>
      </w:r>
    </w:p>
    <w:p>
      <w:pPr>
        <w:spacing w:line="360" w:lineRule="auto"/>
        <w:ind w:firstLine="560" w:firstLineChars="200"/>
        <w:rPr>
          <w:rFonts w:eastAsia="仿宋"/>
          <w:sz w:val="28"/>
          <w:szCs w:val="28"/>
        </w:rPr>
      </w:pPr>
      <w:r>
        <w:rPr>
          <w:rFonts w:eastAsia="仿宋"/>
          <w:sz w:val="28"/>
          <w:szCs w:val="28"/>
        </w:rPr>
        <w:t>2）GB 51096-2015《风力发电场设计规范》；</w:t>
      </w:r>
    </w:p>
    <w:p>
      <w:pPr>
        <w:spacing w:line="360" w:lineRule="auto"/>
        <w:ind w:firstLine="560" w:firstLineChars="200"/>
        <w:rPr>
          <w:rFonts w:eastAsia="仿宋"/>
          <w:sz w:val="28"/>
          <w:szCs w:val="28"/>
        </w:rPr>
      </w:pPr>
      <w:r>
        <w:rPr>
          <w:rFonts w:eastAsia="仿宋"/>
          <w:sz w:val="28"/>
          <w:szCs w:val="28"/>
        </w:rPr>
        <w:t>3）GB/T51437-2021《风力发电系统接入配电网技术规定》；</w:t>
      </w:r>
    </w:p>
    <w:p>
      <w:pPr>
        <w:spacing w:line="360" w:lineRule="auto"/>
        <w:ind w:firstLine="560" w:firstLineChars="200"/>
        <w:rPr>
          <w:rFonts w:eastAsia="仿宋"/>
          <w:sz w:val="28"/>
          <w:szCs w:val="28"/>
        </w:rPr>
      </w:pPr>
      <w:r>
        <w:rPr>
          <w:rFonts w:eastAsia="仿宋"/>
          <w:sz w:val="28"/>
          <w:szCs w:val="28"/>
        </w:rPr>
        <w:t>4）GB/T51121-2015《风力发电施工验收规范》；</w:t>
      </w:r>
    </w:p>
    <w:p>
      <w:pPr>
        <w:spacing w:line="360" w:lineRule="auto"/>
        <w:ind w:firstLine="560" w:firstLineChars="200"/>
        <w:rPr>
          <w:rFonts w:eastAsia="仿宋"/>
          <w:sz w:val="28"/>
          <w:szCs w:val="28"/>
        </w:rPr>
      </w:pPr>
      <w:r>
        <w:rPr>
          <w:rFonts w:eastAsia="仿宋"/>
          <w:sz w:val="28"/>
          <w:szCs w:val="28"/>
        </w:rPr>
        <w:t>5）GB/T25385-2019《风力发电机组运行及维护要求》；</w:t>
      </w:r>
    </w:p>
    <w:p>
      <w:pPr>
        <w:spacing w:line="360" w:lineRule="auto"/>
        <w:ind w:firstLine="560" w:firstLineChars="200"/>
        <w:rPr>
          <w:rFonts w:eastAsia="仿宋"/>
          <w:sz w:val="28"/>
          <w:szCs w:val="28"/>
        </w:rPr>
      </w:pPr>
      <w:r>
        <w:rPr>
          <w:rFonts w:eastAsia="仿宋"/>
          <w:sz w:val="28"/>
          <w:szCs w:val="28"/>
        </w:rPr>
        <w:t>6）GB/T19071.1-2018《风力发电机组异步电机技术条件》；</w:t>
      </w:r>
    </w:p>
    <w:p>
      <w:pPr>
        <w:spacing w:line="360" w:lineRule="auto"/>
        <w:ind w:firstLine="560" w:firstLineChars="200"/>
        <w:rPr>
          <w:rFonts w:eastAsia="仿宋"/>
          <w:sz w:val="28"/>
          <w:szCs w:val="28"/>
        </w:rPr>
      </w:pPr>
      <w:r>
        <w:rPr>
          <w:rFonts w:eastAsia="仿宋"/>
          <w:sz w:val="28"/>
          <w:szCs w:val="28"/>
        </w:rPr>
        <w:t>7）GB/T19071.2-2018《风力发电机组异步电机实验方法》；</w:t>
      </w:r>
    </w:p>
    <w:p>
      <w:pPr>
        <w:spacing w:line="360" w:lineRule="auto"/>
        <w:ind w:firstLine="560" w:firstLineChars="200"/>
        <w:rPr>
          <w:rFonts w:eastAsia="仿宋"/>
          <w:sz w:val="28"/>
          <w:szCs w:val="28"/>
        </w:rPr>
      </w:pPr>
      <w:r>
        <w:rPr>
          <w:rFonts w:eastAsia="仿宋"/>
          <w:sz w:val="28"/>
          <w:szCs w:val="28"/>
        </w:rPr>
        <w:t>8）NB/T10923-2022《风力发电机组变流器安全要求》；</w:t>
      </w:r>
    </w:p>
    <w:p>
      <w:pPr>
        <w:spacing w:line="360" w:lineRule="auto"/>
        <w:ind w:firstLine="560" w:firstLineChars="200"/>
        <w:rPr>
          <w:rFonts w:eastAsia="仿宋"/>
          <w:sz w:val="28"/>
          <w:szCs w:val="28"/>
        </w:rPr>
      </w:pPr>
      <w:r>
        <w:rPr>
          <w:rFonts w:eastAsia="仿宋"/>
          <w:sz w:val="28"/>
          <w:szCs w:val="28"/>
        </w:rPr>
        <w:t>9）NB/10984-2022《风电机组检修安全工作规程》；</w:t>
      </w:r>
    </w:p>
    <w:p>
      <w:pPr>
        <w:spacing w:line="360" w:lineRule="auto"/>
        <w:ind w:firstLine="560" w:firstLineChars="200"/>
        <w:rPr>
          <w:rFonts w:eastAsia="仿宋"/>
          <w:sz w:val="28"/>
          <w:szCs w:val="28"/>
        </w:rPr>
      </w:pPr>
      <w:r>
        <w:rPr>
          <w:rFonts w:eastAsia="仿宋"/>
          <w:sz w:val="28"/>
          <w:szCs w:val="28"/>
        </w:rPr>
        <w:t>10）IEC/61400-1:2019《风力发电机组设计要求》；</w:t>
      </w:r>
    </w:p>
    <w:p>
      <w:pPr>
        <w:spacing w:line="360" w:lineRule="auto"/>
        <w:ind w:firstLine="560" w:firstLineChars="200"/>
        <w:rPr>
          <w:rFonts w:eastAsia="仿宋"/>
          <w:sz w:val="28"/>
          <w:szCs w:val="28"/>
        </w:rPr>
      </w:pPr>
      <w:r>
        <w:rPr>
          <w:rFonts w:eastAsia="仿宋"/>
          <w:sz w:val="28"/>
          <w:szCs w:val="28"/>
        </w:rPr>
        <w:t>11）NB/T31026-2022《风电场工程电气设计规范》；</w:t>
      </w:r>
    </w:p>
    <w:p>
      <w:pPr>
        <w:spacing w:line="360" w:lineRule="auto"/>
        <w:ind w:firstLine="560" w:firstLineChars="200"/>
        <w:rPr>
          <w:rFonts w:eastAsia="仿宋"/>
          <w:sz w:val="28"/>
          <w:szCs w:val="28"/>
        </w:rPr>
      </w:pPr>
      <w:r>
        <w:rPr>
          <w:rFonts w:eastAsia="仿宋"/>
          <w:sz w:val="28"/>
          <w:szCs w:val="28"/>
        </w:rPr>
        <w:t>12）NB/T31015-2018《风力发电机组变桨电机技术规范》；</w:t>
      </w:r>
    </w:p>
    <w:p>
      <w:pPr>
        <w:spacing w:line="360" w:lineRule="auto"/>
        <w:ind w:firstLine="560" w:firstLineChars="200"/>
        <w:rPr>
          <w:rFonts w:eastAsia="仿宋"/>
          <w:sz w:val="28"/>
          <w:szCs w:val="28"/>
        </w:rPr>
      </w:pPr>
      <w:r>
        <w:rPr>
          <w:rFonts w:eastAsia="仿宋"/>
          <w:sz w:val="28"/>
          <w:szCs w:val="28"/>
        </w:rPr>
        <w:t>13）NB/T31039-2021，5.5.1《风力发电机组雷电防护系统技术规范》；</w:t>
      </w:r>
    </w:p>
    <w:p>
      <w:pPr>
        <w:spacing w:line="360" w:lineRule="auto"/>
        <w:ind w:firstLine="560" w:firstLineChars="200"/>
        <w:rPr>
          <w:rFonts w:eastAsia="仿宋"/>
          <w:sz w:val="28"/>
          <w:szCs w:val="28"/>
        </w:rPr>
      </w:pPr>
      <w:r>
        <w:rPr>
          <w:rFonts w:eastAsia="仿宋"/>
          <w:sz w:val="28"/>
          <w:szCs w:val="28"/>
        </w:rPr>
        <w:t>14）GB∕T 31997-2015 风力发电场项目建设工程验收规程；</w:t>
      </w:r>
    </w:p>
    <w:p>
      <w:pPr>
        <w:spacing w:line="360" w:lineRule="auto"/>
        <w:ind w:firstLine="560" w:firstLineChars="200"/>
        <w:rPr>
          <w:rFonts w:eastAsia="仿宋"/>
          <w:sz w:val="28"/>
          <w:szCs w:val="28"/>
        </w:rPr>
      </w:pPr>
      <w:r>
        <w:rPr>
          <w:rFonts w:eastAsia="仿宋"/>
          <w:sz w:val="28"/>
          <w:szCs w:val="28"/>
        </w:rPr>
        <w:t>15）GBT 20319-2017 风力发电机组 验收规范；</w:t>
      </w:r>
    </w:p>
    <w:p>
      <w:pPr>
        <w:spacing w:line="360" w:lineRule="auto"/>
        <w:ind w:firstLine="560" w:firstLineChars="200"/>
        <w:rPr>
          <w:rFonts w:eastAsia="仿宋"/>
          <w:sz w:val="28"/>
          <w:szCs w:val="28"/>
        </w:rPr>
      </w:pPr>
      <w:r>
        <w:rPr>
          <w:rFonts w:eastAsia="仿宋"/>
          <w:sz w:val="28"/>
          <w:szCs w:val="28"/>
        </w:rPr>
        <w:t>16）NB／T 31021-2012《风力发电企业科技文件归档与整理规范》；</w:t>
      </w:r>
    </w:p>
    <w:p>
      <w:pPr>
        <w:spacing w:line="360" w:lineRule="auto"/>
        <w:ind w:firstLine="560" w:firstLineChars="200"/>
        <w:rPr>
          <w:rFonts w:eastAsia="仿宋"/>
          <w:sz w:val="28"/>
          <w:szCs w:val="28"/>
        </w:rPr>
      </w:pPr>
      <w:r>
        <w:rPr>
          <w:rFonts w:eastAsia="仿宋"/>
          <w:sz w:val="28"/>
          <w:szCs w:val="28"/>
        </w:rPr>
        <w:t>17）NB 31089-2016《风电场设计防火规范》；</w:t>
      </w:r>
    </w:p>
    <w:p>
      <w:pPr>
        <w:spacing w:line="360" w:lineRule="auto"/>
        <w:ind w:firstLine="560" w:firstLineChars="200"/>
        <w:rPr>
          <w:rFonts w:eastAsia="仿宋"/>
          <w:sz w:val="28"/>
          <w:szCs w:val="28"/>
        </w:rPr>
      </w:pPr>
      <w:r>
        <w:rPr>
          <w:rFonts w:eastAsia="仿宋"/>
          <w:sz w:val="28"/>
          <w:szCs w:val="28"/>
        </w:rPr>
        <w:t>18）</w:t>
      </w:r>
      <w:r>
        <w:fldChar w:fldCharType="begin"/>
      </w:r>
      <w:r>
        <w:instrText xml:space="preserve"> HYPERLINK "https://www.baidu.com/link?url=HPkjWVuHjgROhlHoWcynSzfeEOKB7carj2a3Q_F8EI6xmdpI6PuOrtq5S16lns52&amp;wd=&amp;eqid=c51452a1001188940000000262c63d28" \t "_blank" </w:instrText>
      </w:r>
      <w:r>
        <w:fldChar w:fldCharType="separate"/>
      </w:r>
      <w:r>
        <w:rPr>
          <w:rFonts w:eastAsia="仿宋"/>
          <w:sz w:val="28"/>
          <w:szCs w:val="28"/>
        </w:rPr>
        <w:t>NB/T 31147-2018 风电场工程风能资源测量与评估技术规范</w:t>
      </w:r>
      <w:r>
        <w:rPr>
          <w:rFonts w:eastAsia="仿宋"/>
          <w:sz w:val="28"/>
          <w:szCs w:val="28"/>
        </w:rPr>
        <w:fldChar w:fldCharType="end"/>
      </w:r>
      <w:r>
        <w:rPr>
          <w:rFonts w:eastAsia="仿宋"/>
          <w:sz w:val="28"/>
          <w:szCs w:val="28"/>
        </w:rPr>
        <w:t>；</w:t>
      </w:r>
    </w:p>
    <w:p>
      <w:pPr>
        <w:spacing w:line="360" w:lineRule="auto"/>
        <w:ind w:firstLine="560" w:firstLineChars="200"/>
        <w:rPr>
          <w:rFonts w:eastAsia="仿宋"/>
          <w:sz w:val="28"/>
          <w:szCs w:val="28"/>
        </w:rPr>
      </w:pPr>
      <w:r>
        <w:rPr>
          <w:rFonts w:eastAsia="仿宋"/>
          <w:sz w:val="28"/>
          <w:szCs w:val="28"/>
        </w:rPr>
        <w:t>19）</w:t>
      </w:r>
      <w:r>
        <w:fldChar w:fldCharType="begin"/>
      </w:r>
      <w:r>
        <w:instrText xml:space="preserve"> HYPERLINK "http://www.baidu.com/link?url=sqUt-cL3yuf_97723akE6vrC3wn2SBgETnXosFJ-rdcT9K9SY3tdYiZWPhJXBXkcx5u_I0_mdnRC_fOFU7rku_" \t "_blank" </w:instrText>
      </w:r>
      <w:r>
        <w:fldChar w:fldCharType="separate"/>
      </w:r>
      <w:r>
        <w:rPr>
          <w:rFonts w:eastAsia="仿宋"/>
          <w:sz w:val="28"/>
          <w:szCs w:val="28"/>
        </w:rPr>
        <w:t>NBT 31055-2014 风电场理论发电量与弃风电量评估导则</w:t>
      </w:r>
      <w:r>
        <w:rPr>
          <w:rFonts w:eastAsia="仿宋"/>
          <w:sz w:val="28"/>
          <w:szCs w:val="28"/>
        </w:rPr>
        <w:fldChar w:fldCharType="end"/>
      </w:r>
      <w:r>
        <w:rPr>
          <w:rFonts w:eastAsia="仿宋"/>
          <w:sz w:val="28"/>
          <w:szCs w:val="28"/>
        </w:rPr>
        <w:t>；</w:t>
      </w:r>
    </w:p>
    <w:p>
      <w:pPr>
        <w:spacing w:line="360" w:lineRule="auto"/>
        <w:ind w:firstLine="560" w:firstLineChars="200"/>
        <w:rPr>
          <w:rFonts w:eastAsia="仿宋"/>
          <w:sz w:val="28"/>
          <w:szCs w:val="28"/>
        </w:rPr>
      </w:pPr>
      <w:r>
        <w:rPr>
          <w:rFonts w:eastAsia="仿宋"/>
          <w:sz w:val="28"/>
          <w:szCs w:val="28"/>
        </w:rPr>
        <w:t>20）委托方的特定要求。</w:t>
      </w:r>
    </w:p>
    <w:p>
      <w:pPr>
        <w:ind w:firstLine="600" w:firstLineChars="200"/>
        <w:rPr>
          <w:rFonts w:eastAsia="仿宋"/>
          <w:sz w:val="30"/>
          <w:szCs w:val="30"/>
        </w:rPr>
      </w:pPr>
      <w:r>
        <w:rPr>
          <w:rFonts w:eastAsia="仿宋"/>
          <w:sz w:val="30"/>
          <w:szCs w:val="30"/>
        </w:rPr>
        <w:t xml:space="preserve">1.2 </w:t>
      </w:r>
      <w:r>
        <w:rPr>
          <w:rFonts w:eastAsia="仿宋"/>
          <w:b/>
          <w:sz w:val="30"/>
          <w:szCs w:val="30"/>
        </w:rPr>
        <w:t>资格要求</w:t>
      </w:r>
    </w:p>
    <w:p>
      <w:pPr>
        <w:widowControl/>
        <w:spacing w:line="560" w:lineRule="exact"/>
        <w:ind w:firstLine="560" w:firstLineChars="200"/>
        <w:jc w:val="left"/>
        <w:rPr>
          <w:rFonts w:eastAsia="仿宋"/>
          <w:sz w:val="28"/>
          <w:szCs w:val="28"/>
        </w:rPr>
      </w:pPr>
      <w:r>
        <w:rPr>
          <w:rFonts w:eastAsia="仿宋"/>
          <w:sz w:val="28"/>
          <w:szCs w:val="28"/>
        </w:rPr>
        <w:t>1.2.1资质条件：</w:t>
      </w:r>
    </w:p>
    <w:p>
      <w:pPr>
        <w:widowControl/>
        <w:spacing w:line="560" w:lineRule="exact"/>
        <w:ind w:firstLine="560" w:firstLineChars="200"/>
        <w:jc w:val="left"/>
        <w:rPr>
          <w:rFonts w:eastAsia="仿宋"/>
          <w:sz w:val="28"/>
          <w:szCs w:val="28"/>
        </w:rPr>
      </w:pPr>
      <w:r>
        <w:rPr>
          <w:rFonts w:eastAsia="仿宋"/>
          <w:sz w:val="28"/>
          <w:szCs w:val="28"/>
        </w:rPr>
        <w:t>1）响应人必须是在中华人民共和国境内依法注册的独立的企业法人,具备在其合法的营业范围内履行民事责任能力的企业。</w:t>
      </w:r>
    </w:p>
    <w:p>
      <w:pPr>
        <w:widowControl/>
        <w:spacing w:line="560" w:lineRule="exact"/>
        <w:ind w:firstLine="560" w:firstLineChars="200"/>
        <w:jc w:val="left"/>
        <w:rPr>
          <w:rFonts w:eastAsia="仿宋"/>
          <w:sz w:val="28"/>
          <w:szCs w:val="28"/>
        </w:rPr>
      </w:pPr>
      <w:r>
        <w:rPr>
          <w:rFonts w:eastAsia="仿宋"/>
          <w:sz w:val="28"/>
          <w:szCs w:val="28"/>
        </w:rPr>
        <w:t>2）响应人须具有由中国合格评定国家认可委员会（CNAS）授权并颁发的ISO17025实验室认可证书。</w:t>
      </w:r>
    </w:p>
    <w:p>
      <w:pPr>
        <w:widowControl/>
        <w:spacing w:line="560" w:lineRule="exact"/>
        <w:ind w:firstLine="560" w:firstLineChars="200"/>
        <w:jc w:val="left"/>
        <w:rPr>
          <w:rFonts w:eastAsia="仿宋"/>
          <w:sz w:val="28"/>
          <w:szCs w:val="28"/>
        </w:rPr>
      </w:pPr>
      <w:r>
        <w:rPr>
          <w:rFonts w:eastAsia="仿宋"/>
          <w:sz w:val="28"/>
          <w:szCs w:val="28"/>
        </w:rPr>
        <w:t>1.2.2项目负责人资格：具备工程序列中级以上职称，至少参与过3个及以上类似项目的技术尽职调查服务。</w:t>
      </w:r>
    </w:p>
    <w:p>
      <w:pPr>
        <w:adjustRightInd w:val="0"/>
        <w:snapToGrid w:val="0"/>
        <w:spacing w:line="560" w:lineRule="exact"/>
        <w:ind w:firstLine="560" w:firstLineChars="200"/>
        <w:rPr>
          <w:rFonts w:eastAsia="仿宋"/>
          <w:sz w:val="28"/>
          <w:szCs w:val="28"/>
        </w:rPr>
      </w:pPr>
      <w:r>
        <w:rPr>
          <w:rFonts w:eastAsia="仿宋"/>
          <w:sz w:val="28"/>
          <w:szCs w:val="28"/>
        </w:rPr>
        <w:t>1.2.3信誉要求：</w:t>
      </w:r>
    </w:p>
    <w:p>
      <w:pPr>
        <w:adjustRightInd w:val="0"/>
        <w:snapToGrid w:val="0"/>
        <w:spacing w:line="480" w:lineRule="exact"/>
        <w:ind w:firstLine="560" w:firstLineChars="200"/>
        <w:rPr>
          <w:rFonts w:eastAsia="仿宋"/>
          <w:sz w:val="28"/>
          <w:szCs w:val="28"/>
        </w:rPr>
      </w:pPr>
      <w:r>
        <w:rPr>
          <w:rFonts w:eastAsia="仿宋"/>
          <w:sz w:val="28"/>
          <w:szCs w:val="28"/>
        </w:rPr>
        <w:fldChar w:fldCharType="begin"/>
      </w:r>
      <w:r>
        <w:rPr>
          <w:rFonts w:eastAsia="仿宋"/>
          <w:sz w:val="28"/>
          <w:szCs w:val="28"/>
        </w:rPr>
        <w:instrText xml:space="preserve"> = 1 \* GB3 </w:instrText>
      </w:r>
      <w:r>
        <w:rPr>
          <w:rFonts w:eastAsia="仿宋"/>
          <w:sz w:val="28"/>
          <w:szCs w:val="28"/>
        </w:rPr>
        <w:fldChar w:fldCharType="separate"/>
      </w:r>
      <w:r>
        <w:rPr>
          <w:rFonts w:eastAsia="仿宋"/>
          <w:sz w:val="28"/>
          <w:szCs w:val="28"/>
        </w:rPr>
        <w:t>①</w:t>
      </w:r>
      <w:r>
        <w:rPr>
          <w:rFonts w:eastAsia="仿宋"/>
          <w:sz w:val="28"/>
          <w:szCs w:val="28"/>
        </w:rPr>
        <w:fldChar w:fldCharType="end"/>
      </w:r>
      <w:r>
        <w:rPr>
          <w:rFonts w:eastAsia="仿宋"/>
          <w:sz w:val="28"/>
          <w:szCs w:val="28"/>
        </w:rPr>
        <w:t xml:space="preserve"> 未处于被责令停业的；</w:t>
      </w:r>
    </w:p>
    <w:p>
      <w:pPr>
        <w:adjustRightInd w:val="0"/>
        <w:snapToGrid w:val="0"/>
        <w:spacing w:line="480" w:lineRule="exact"/>
        <w:ind w:firstLine="560" w:firstLineChars="200"/>
        <w:rPr>
          <w:rFonts w:eastAsia="仿宋"/>
          <w:sz w:val="28"/>
          <w:szCs w:val="28"/>
        </w:rPr>
      </w:pPr>
      <w:r>
        <w:rPr>
          <w:rFonts w:eastAsia="仿宋"/>
          <w:sz w:val="28"/>
          <w:szCs w:val="28"/>
        </w:rPr>
        <w:fldChar w:fldCharType="begin"/>
      </w:r>
      <w:r>
        <w:rPr>
          <w:rFonts w:eastAsia="仿宋"/>
          <w:sz w:val="28"/>
          <w:szCs w:val="28"/>
        </w:rPr>
        <w:instrText xml:space="preserve"> = 2 \* GB3 </w:instrText>
      </w:r>
      <w:r>
        <w:rPr>
          <w:rFonts w:eastAsia="仿宋"/>
          <w:sz w:val="28"/>
          <w:szCs w:val="28"/>
        </w:rPr>
        <w:fldChar w:fldCharType="separate"/>
      </w:r>
      <w:r>
        <w:rPr>
          <w:rFonts w:eastAsia="仿宋"/>
          <w:sz w:val="28"/>
          <w:szCs w:val="28"/>
        </w:rPr>
        <w:t>②</w:t>
      </w:r>
      <w:r>
        <w:rPr>
          <w:rFonts w:eastAsia="仿宋"/>
          <w:sz w:val="28"/>
          <w:szCs w:val="28"/>
        </w:rPr>
        <w:fldChar w:fldCharType="end"/>
      </w:r>
      <w:r>
        <w:rPr>
          <w:rFonts w:eastAsia="仿宋"/>
          <w:sz w:val="28"/>
          <w:szCs w:val="28"/>
        </w:rPr>
        <w:t xml:space="preserve"> 未处于被暂停或取消报价资格的；</w:t>
      </w:r>
    </w:p>
    <w:p>
      <w:pPr>
        <w:adjustRightInd w:val="0"/>
        <w:snapToGrid w:val="0"/>
        <w:spacing w:line="480" w:lineRule="exact"/>
        <w:ind w:firstLine="560" w:firstLineChars="200"/>
        <w:rPr>
          <w:rFonts w:eastAsia="仿宋"/>
          <w:sz w:val="28"/>
          <w:szCs w:val="28"/>
        </w:rPr>
      </w:pPr>
      <w:r>
        <w:rPr>
          <w:rFonts w:eastAsia="仿宋"/>
          <w:sz w:val="28"/>
          <w:szCs w:val="28"/>
        </w:rPr>
        <w:t>③ 财产未处于被接管、冻结或破产状态的；</w:t>
      </w:r>
    </w:p>
    <w:p>
      <w:pPr>
        <w:adjustRightInd w:val="0"/>
        <w:snapToGrid w:val="0"/>
        <w:spacing w:line="560" w:lineRule="exact"/>
        <w:ind w:firstLine="560" w:firstLineChars="200"/>
        <w:rPr>
          <w:rFonts w:eastAsia="仿宋"/>
          <w:sz w:val="28"/>
          <w:szCs w:val="28"/>
        </w:rPr>
      </w:pPr>
      <w:r>
        <w:rPr>
          <w:rFonts w:eastAsia="仿宋"/>
          <w:sz w:val="28"/>
          <w:szCs w:val="28"/>
        </w:rPr>
        <w:t>④ 具有良好的商业信誉，无被省级或询价项目备案地司法行政部门或行业协会处罚或不良记录，但不在其行政处罚期或不良记录期内的除外。</w:t>
      </w:r>
    </w:p>
    <w:p>
      <w:pPr>
        <w:adjustRightInd w:val="0"/>
        <w:snapToGrid w:val="0"/>
        <w:spacing w:line="560" w:lineRule="exact"/>
        <w:ind w:firstLine="560" w:firstLineChars="200"/>
        <w:rPr>
          <w:rFonts w:eastAsia="仿宋"/>
          <w:sz w:val="28"/>
          <w:szCs w:val="28"/>
        </w:rPr>
      </w:pPr>
      <w:r>
        <w:rPr>
          <w:rFonts w:eastAsia="仿宋"/>
          <w:sz w:val="28"/>
          <w:szCs w:val="28"/>
        </w:rPr>
        <w:t>1.2.4业绩要求：2020年</w:t>
      </w:r>
      <w:r>
        <w:rPr>
          <w:rFonts w:eastAsia="仿宋"/>
          <w:sz w:val="28"/>
          <w:szCs w:val="28"/>
          <w:u w:val="single"/>
        </w:rPr>
        <w:t xml:space="preserve"> 7  </w:t>
      </w:r>
      <w:r>
        <w:rPr>
          <w:rFonts w:eastAsia="仿宋"/>
          <w:sz w:val="28"/>
          <w:szCs w:val="28"/>
        </w:rPr>
        <w:t>月</w:t>
      </w:r>
      <w:r>
        <w:rPr>
          <w:rFonts w:eastAsia="仿宋"/>
          <w:sz w:val="28"/>
          <w:szCs w:val="28"/>
          <w:u w:val="single"/>
        </w:rPr>
        <w:t xml:space="preserve">  1 </w:t>
      </w:r>
      <w:r>
        <w:rPr>
          <w:rFonts w:eastAsia="仿宋"/>
          <w:sz w:val="28"/>
          <w:szCs w:val="28"/>
        </w:rPr>
        <w:t>日至2022年</w:t>
      </w:r>
      <w:r>
        <w:rPr>
          <w:rFonts w:eastAsia="仿宋"/>
          <w:sz w:val="28"/>
          <w:szCs w:val="28"/>
          <w:u w:val="single"/>
        </w:rPr>
        <w:t xml:space="preserve"> 7  </w:t>
      </w:r>
      <w:r>
        <w:rPr>
          <w:rFonts w:eastAsia="仿宋"/>
          <w:sz w:val="28"/>
          <w:szCs w:val="28"/>
        </w:rPr>
        <w:t>月</w:t>
      </w:r>
      <w:r>
        <w:rPr>
          <w:rFonts w:eastAsia="仿宋"/>
          <w:sz w:val="28"/>
          <w:szCs w:val="28"/>
          <w:u w:val="single"/>
        </w:rPr>
        <w:t xml:space="preserve">  1 </w:t>
      </w:r>
      <w:r>
        <w:rPr>
          <w:rFonts w:eastAsia="仿宋"/>
          <w:sz w:val="28"/>
          <w:szCs w:val="28"/>
        </w:rPr>
        <w:t>日两年期间完成</w:t>
      </w:r>
      <w:r>
        <w:rPr>
          <w:rFonts w:eastAsia="仿宋"/>
          <w:sz w:val="28"/>
          <w:szCs w:val="28"/>
          <w:u w:val="single"/>
        </w:rPr>
        <w:t xml:space="preserve"> 100  </w:t>
      </w:r>
      <w:r>
        <w:rPr>
          <w:rFonts w:eastAsia="仿宋"/>
          <w:sz w:val="28"/>
          <w:szCs w:val="28"/>
        </w:rPr>
        <w:t>MW以上电站（</w:t>
      </w:r>
      <w:r>
        <w:rPr>
          <w:rFonts w:eastAsia="仿宋"/>
          <w:color w:val="0000FF"/>
          <w:sz w:val="28"/>
          <w:szCs w:val="28"/>
        </w:rPr>
        <w:t>同类</w:t>
      </w:r>
      <w:r>
        <w:rPr>
          <w:rFonts w:eastAsia="仿宋"/>
          <w:sz w:val="28"/>
          <w:szCs w:val="28"/>
        </w:rPr>
        <w:t>）项目尽职调查服务不少于3个项目。</w:t>
      </w:r>
    </w:p>
    <w:p>
      <w:pPr>
        <w:spacing w:line="560" w:lineRule="exact"/>
        <w:ind w:firstLine="560" w:firstLineChars="200"/>
        <w:rPr>
          <w:rFonts w:eastAsia="仿宋"/>
          <w:sz w:val="28"/>
          <w:szCs w:val="28"/>
        </w:rPr>
      </w:pPr>
      <w:r>
        <w:rPr>
          <w:rFonts w:eastAsia="仿宋"/>
          <w:sz w:val="28"/>
          <w:szCs w:val="28"/>
        </w:rPr>
        <w:t>1.2.5其他要求：采购人不接受两个或两个以上公司（企业）法人组成的联合（营）体的报价。与采购人存在利害关系可能影响采购公正性的单位，不得参加响应。</w:t>
      </w:r>
    </w:p>
    <w:p>
      <w:pPr>
        <w:ind w:firstLine="600" w:firstLineChars="200"/>
        <w:rPr>
          <w:rFonts w:eastAsia="仿宋"/>
          <w:sz w:val="30"/>
          <w:szCs w:val="30"/>
        </w:rPr>
      </w:pPr>
      <w:r>
        <w:rPr>
          <w:rFonts w:eastAsia="仿宋"/>
          <w:sz w:val="30"/>
          <w:szCs w:val="30"/>
        </w:rPr>
        <w:t xml:space="preserve">1.3 </w:t>
      </w:r>
      <w:r>
        <w:rPr>
          <w:rFonts w:eastAsia="仿宋"/>
          <w:b/>
          <w:sz w:val="30"/>
          <w:szCs w:val="30"/>
        </w:rPr>
        <w:t>保密要求</w:t>
      </w:r>
    </w:p>
    <w:p>
      <w:pPr>
        <w:ind w:firstLine="560" w:firstLineChars="200"/>
        <w:rPr>
          <w:rFonts w:eastAsia="仿宋"/>
          <w:sz w:val="28"/>
          <w:szCs w:val="28"/>
        </w:rPr>
      </w:pPr>
      <w:r>
        <w:rPr>
          <w:rFonts w:eastAsia="仿宋"/>
          <w:sz w:val="28"/>
          <w:szCs w:val="28"/>
        </w:rPr>
        <w:t>响应人应对与本采购项目相关的任何性质的、任何形式的信息、知识、数据、绘图、专有技术、分析、计算、编辑、研究和其他材料承担保密义务。如响应人违反保密义务，采购人有权要求响应人立即停止违反保密义务的行为，并采取一切有效措施防止保密信息泄露范围继续扩大，同时赔偿采购人或其他相关方因此遭受的全部损失。</w:t>
      </w:r>
    </w:p>
    <w:p>
      <w:pPr>
        <w:ind w:firstLine="560" w:firstLineChars="200"/>
        <w:rPr>
          <w:rFonts w:eastAsia="仿宋"/>
          <w:sz w:val="28"/>
          <w:szCs w:val="28"/>
        </w:rPr>
      </w:pPr>
    </w:p>
    <w:p>
      <w:pPr>
        <w:ind w:firstLine="643" w:firstLineChars="200"/>
        <w:rPr>
          <w:rFonts w:eastAsia="仿宋"/>
          <w:b/>
          <w:sz w:val="32"/>
          <w:szCs w:val="32"/>
        </w:rPr>
      </w:pPr>
      <w:r>
        <w:rPr>
          <w:rFonts w:eastAsia="仿宋"/>
          <w:b/>
          <w:sz w:val="32"/>
          <w:szCs w:val="32"/>
        </w:rPr>
        <w:t>2 询价文件</w:t>
      </w:r>
    </w:p>
    <w:p>
      <w:pPr>
        <w:ind w:firstLine="602" w:firstLineChars="200"/>
        <w:rPr>
          <w:rFonts w:eastAsia="仿宋"/>
          <w:b/>
          <w:sz w:val="30"/>
          <w:szCs w:val="30"/>
        </w:rPr>
      </w:pPr>
      <w:r>
        <w:rPr>
          <w:rFonts w:eastAsia="仿宋"/>
          <w:b/>
          <w:sz w:val="30"/>
          <w:szCs w:val="30"/>
        </w:rPr>
        <w:t>2.1 询价文件的组成</w:t>
      </w:r>
    </w:p>
    <w:p>
      <w:pPr>
        <w:ind w:firstLine="560" w:firstLineChars="200"/>
        <w:rPr>
          <w:rFonts w:eastAsia="仿宋"/>
          <w:sz w:val="28"/>
          <w:szCs w:val="28"/>
        </w:rPr>
      </w:pPr>
      <w:r>
        <w:rPr>
          <w:rFonts w:eastAsia="仿宋"/>
          <w:sz w:val="28"/>
          <w:szCs w:val="28"/>
        </w:rPr>
        <w:t>2.1.1 询价文件由下列文件及在询价过程中发出的澄清或者修改文件组成：</w:t>
      </w:r>
    </w:p>
    <w:p>
      <w:pPr>
        <w:ind w:firstLine="560" w:firstLineChars="200"/>
        <w:rPr>
          <w:rFonts w:eastAsia="仿宋"/>
          <w:sz w:val="28"/>
          <w:szCs w:val="28"/>
        </w:rPr>
      </w:pPr>
      <w:r>
        <w:rPr>
          <w:rFonts w:eastAsia="仿宋"/>
          <w:sz w:val="28"/>
          <w:szCs w:val="28"/>
        </w:rPr>
        <w:t>第一部分 询价公告</w:t>
      </w:r>
    </w:p>
    <w:p>
      <w:pPr>
        <w:ind w:firstLine="560" w:firstLineChars="200"/>
        <w:rPr>
          <w:rFonts w:eastAsia="仿宋"/>
          <w:sz w:val="28"/>
          <w:szCs w:val="28"/>
        </w:rPr>
      </w:pPr>
      <w:r>
        <w:rPr>
          <w:rFonts w:eastAsia="仿宋"/>
          <w:sz w:val="28"/>
          <w:szCs w:val="28"/>
        </w:rPr>
        <w:t>第二部分 询价要求</w:t>
      </w:r>
    </w:p>
    <w:p>
      <w:pPr>
        <w:ind w:firstLine="560" w:firstLineChars="200"/>
        <w:rPr>
          <w:rFonts w:eastAsia="仿宋"/>
          <w:sz w:val="28"/>
          <w:szCs w:val="28"/>
        </w:rPr>
      </w:pPr>
      <w:r>
        <w:rPr>
          <w:rFonts w:eastAsia="仿宋"/>
          <w:sz w:val="28"/>
          <w:szCs w:val="28"/>
        </w:rPr>
        <w:t>第三部分 响应文件格式</w:t>
      </w:r>
    </w:p>
    <w:p>
      <w:pPr>
        <w:ind w:firstLine="560" w:firstLineChars="200"/>
        <w:rPr>
          <w:rFonts w:eastAsia="仿宋"/>
          <w:sz w:val="28"/>
          <w:szCs w:val="28"/>
        </w:rPr>
      </w:pPr>
      <w:r>
        <w:rPr>
          <w:rFonts w:eastAsia="仿宋"/>
          <w:sz w:val="28"/>
          <w:szCs w:val="28"/>
        </w:rPr>
        <w:t>附件：江西省新余市渝水区良山23.1MW风电项目的技术尽职调查服务内容。</w:t>
      </w:r>
    </w:p>
    <w:p>
      <w:pPr>
        <w:pStyle w:val="4"/>
        <w:spacing w:before="120" w:after="120" w:line="360" w:lineRule="auto"/>
        <w:ind w:firstLine="602" w:firstLineChars="200"/>
        <w:jc w:val="left"/>
        <w:rPr>
          <w:rFonts w:ascii="Times New Roman" w:hAnsi="Times New Roman" w:eastAsia="仿宋"/>
          <w:bCs w:val="0"/>
          <w:sz w:val="30"/>
          <w:szCs w:val="30"/>
        </w:rPr>
      </w:pPr>
      <w:bookmarkStart w:id="1" w:name="_Toc967"/>
      <w:bookmarkStart w:id="2" w:name="_Toc31548"/>
      <w:r>
        <w:rPr>
          <w:rFonts w:ascii="Times New Roman" w:hAnsi="Times New Roman" w:eastAsia="仿宋"/>
          <w:bCs w:val="0"/>
          <w:sz w:val="30"/>
          <w:szCs w:val="30"/>
        </w:rPr>
        <w:t>2.2采购文件的澄清或修改</w:t>
      </w:r>
      <w:bookmarkEnd w:id="1"/>
      <w:bookmarkEnd w:id="2"/>
    </w:p>
    <w:p>
      <w:pPr>
        <w:pStyle w:val="4"/>
        <w:spacing w:before="120" w:after="120" w:line="360" w:lineRule="auto"/>
        <w:ind w:firstLine="560" w:firstLineChars="200"/>
        <w:jc w:val="left"/>
        <w:rPr>
          <w:rFonts w:ascii="Times New Roman" w:hAnsi="Times New Roman" w:eastAsia="仿宋"/>
          <w:b w:val="0"/>
          <w:bCs w:val="0"/>
          <w:sz w:val="28"/>
          <w:szCs w:val="28"/>
        </w:rPr>
      </w:pPr>
      <w:r>
        <w:rPr>
          <w:rFonts w:ascii="Times New Roman" w:hAnsi="Times New Roman" w:eastAsia="仿宋"/>
          <w:b w:val="0"/>
          <w:bCs w:val="0"/>
          <w:sz w:val="28"/>
          <w:szCs w:val="28"/>
        </w:rPr>
        <w:t>2.2.1响应人对采购文件有疑问的，请在采购须知前附表规定的时间前以书面形式要求采购人对采购文件予以澄清。</w:t>
      </w:r>
    </w:p>
    <w:p>
      <w:pPr>
        <w:pStyle w:val="4"/>
        <w:spacing w:before="120" w:after="120" w:line="360" w:lineRule="auto"/>
        <w:ind w:firstLine="560" w:firstLineChars="200"/>
        <w:jc w:val="left"/>
        <w:rPr>
          <w:rFonts w:ascii="Times New Roman" w:hAnsi="Times New Roman" w:eastAsia="仿宋"/>
          <w:b w:val="0"/>
          <w:bCs w:val="0"/>
          <w:sz w:val="28"/>
          <w:szCs w:val="28"/>
        </w:rPr>
      </w:pPr>
      <w:r>
        <w:rPr>
          <w:rFonts w:ascii="Times New Roman" w:hAnsi="Times New Roman" w:eastAsia="仿宋"/>
          <w:b w:val="0"/>
          <w:bCs w:val="0"/>
          <w:sz w:val="28"/>
          <w:szCs w:val="28"/>
        </w:rPr>
        <w:t>2.2.2采购人对采购文件有修改或澄清的，将在采购须知前附表规定的时间前以书面方式通知所有获得采购文件的响应人，修改或澄清作为采购文件的组成部分。</w:t>
      </w:r>
    </w:p>
    <w:p>
      <w:pPr>
        <w:ind w:firstLine="560" w:firstLineChars="200"/>
        <w:rPr>
          <w:rFonts w:eastAsia="仿宋"/>
          <w:sz w:val="28"/>
          <w:szCs w:val="28"/>
        </w:rPr>
      </w:pPr>
    </w:p>
    <w:p>
      <w:pPr>
        <w:ind w:firstLine="643" w:firstLineChars="200"/>
        <w:rPr>
          <w:rFonts w:eastAsia="仿宋"/>
          <w:b/>
          <w:sz w:val="32"/>
          <w:szCs w:val="32"/>
        </w:rPr>
      </w:pPr>
      <w:r>
        <w:rPr>
          <w:rFonts w:eastAsia="仿宋"/>
          <w:b/>
          <w:sz w:val="32"/>
          <w:szCs w:val="32"/>
        </w:rPr>
        <w:t>3 响应文件</w:t>
      </w:r>
    </w:p>
    <w:p>
      <w:pPr>
        <w:ind w:firstLine="602" w:firstLineChars="200"/>
        <w:rPr>
          <w:rFonts w:eastAsia="仿宋"/>
          <w:b/>
          <w:sz w:val="30"/>
          <w:szCs w:val="30"/>
        </w:rPr>
      </w:pPr>
      <w:r>
        <w:rPr>
          <w:rFonts w:eastAsia="仿宋"/>
          <w:b/>
          <w:sz w:val="30"/>
          <w:szCs w:val="30"/>
        </w:rPr>
        <w:t>3.1 响应文件的组成</w:t>
      </w:r>
    </w:p>
    <w:p>
      <w:pPr>
        <w:spacing w:line="560" w:lineRule="exact"/>
        <w:ind w:firstLine="600" w:firstLineChars="200"/>
        <w:rPr>
          <w:rFonts w:eastAsia="仿宋"/>
          <w:sz w:val="30"/>
          <w:szCs w:val="30"/>
        </w:rPr>
      </w:pPr>
      <w:r>
        <w:rPr>
          <w:rFonts w:eastAsiaTheme="minorEastAsia"/>
          <w:sz w:val="30"/>
          <w:szCs w:val="30"/>
        </w:rPr>
        <w:t xml:space="preserve">1. </w:t>
      </w:r>
      <w:r>
        <w:rPr>
          <w:rFonts w:eastAsia="仿宋"/>
          <w:sz w:val="30"/>
          <w:szCs w:val="30"/>
        </w:rPr>
        <w:t xml:space="preserve">响应函 </w:t>
      </w:r>
    </w:p>
    <w:p>
      <w:pPr>
        <w:spacing w:line="560" w:lineRule="exact"/>
        <w:ind w:firstLine="600" w:firstLineChars="200"/>
        <w:rPr>
          <w:rFonts w:eastAsia="仿宋"/>
          <w:sz w:val="30"/>
          <w:szCs w:val="30"/>
        </w:rPr>
      </w:pPr>
      <w:r>
        <w:rPr>
          <w:rFonts w:eastAsiaTheme="minorEastAsia"/>
          <w:sz w:val="30"/>
          <w:szCs w:val="30"/>
        </w:rPr>
        <w:t xml:space="preserve">2. </w:t>
      </w:r>
      <w:r>
        <w:rPr>
          <w:rFonts w:eastAsia="仿宋"/>
          <w:sz w:val="30"/>
          <w:szCs w:val="30"/>
        </w:rPr>
        <w:t>报价函</w:t>
      </w:r>
    </w:p>
    <w:p>
      <w:pPr>
        <w:spacing w:line="560" w:lineRule="exact"/>
        <w:ind w:firstLine="600" w:firstLineChars="200"/>
        <w:rPr>
          <w:rFonts w:eastAsia="仿宋"/>
          <w:sz w:val="30"/>
          <w:szCs w:val="30"/>
        </w:rPr>
      </w:pPr>
      <w:r>
        <w:rPr>
          <w:rFonts w:eastAsiaTheme="minorEastAsia"/>
          <w:sz w:val="30"/>
          <w:szCs w:val="30"/>
        </w:rPr>
        <w:t>3.</w:t>
      </w:r>
      <w:r>
        <w:rPr>
          <w:rFonts w:eastAsia="仿宋"/>
          <w:sz w:val="30"/>
          <w:szCs w:val="30"/>
        </w:rPr>
        <w:t xml:space="preserve"> 法定代表人身份证明</w:t>
      </w:r>
    </w:p>
    <w:p>
      <w:pPr>
        <w:spacing w:line="560" w:lineRule="exact"/>
        <w:ind w:firstLine="600" w:firstLineChars="200"/>
        <w:rPr>
          <w:rFonts w:eastAsia="仿宋"/>
          <w:sz w:val="30"/>
          <w:szCs w:val="30"/>
        </w:rPr>
      </w:pPr>
      <w:r>
        <w:rPr>
          <w:rFonts w:eastAsiaTheme="minorEastAsia"/>
          <w:sz w:val="30"/>
          <w:szCs w:val="30"/>
        </w:rPr>
        <w:t>4.</w:t>
      </w:r>
      <w:r>
        <w:rPr>
          <w:rFonts w:eastAsia="仿宋"/>
          <w:sz w:val="30"/>
          <w:szCs w:val="30"/>
        </w:rPr>
        <w:t xml:space="preserve"> 授权委托书</w:t>
      </w:r>
    </w:p>
    <w:p>
      <w:pPr>
        <w:spacing w:line="560" w:lineRule="exact"/>
        <w:ind w:firstLine="600" w:firstLineChars="200"/>
        <w:rPr>
          <w:rFonts w:eastAsia="仿宋"/>
          <w:sz w:val="30"/>
          <w:szCs w:val="30"/>
        </w:rPr>
      </w:pPr>
      <w:r>
        <w:rPr>
          <w:rFonts w:eastAsiaTheme="minorEastAsia"/>
          <w:sz w:val="30"/>
          <w:szCs w:val="30"/>
        </w:rPr>
        <w:t>5.</w:t>
      </w:r>
      <w:r>
        <w:rPr>
          <w:rFonts w:eastAsia="仿宋"/>
          <w:sz w:val="30"/>
          <w:szCs w:val="30"/>
        </w:rPr>
        <w:t xml:space="preserve"> 响应人基本情况表</w:t>
      </w:r>
    </w:p>
    <w:p>
      <w:pPr>
        <w:spacing w:line="560" w:lineRule="exact"/>
        <w:ind w:firstLine="600" w:firstLineChars="200"/>
        <w:rPr>
          <w:rFonts w:eastAsia="仿宋"/>
          <w:sz w:val="30"/>
          <w:szCs w:val="30"/>
        </w:rPr>
      </w:pPr>
      <w:r>
        <w:rPr>
          <w:rFonts w:eastAsiaTheme="minorEastAsia"/>
          <w:sz w:val="30"/>
          <w:szCs w:val="30"/>
        </w:rPr>
        <w:t xml:space="preserve">6. </w:t>
      </w:r>
      <w:r>
        <w:rPr>
          <w:rFonts w:eastAsia="仿宋"/>
          <w:sz w:val="30"/>
          <w:szCs w:val="30"/>
        </w:rPr>
        <w:t>响应人完成的类似业绩表</w:t>
      </w:r>
    </w:p>
    <w:p>
      <w:pPr>
        <w:spacing w:line="560" w:lineRule="exact"/>
        <w:ind w:firstLine="600" w:firstLineChars="200"/>
        <w:rPr>
          <w:rFonts w:eastAsia="仿宋"/>
          <w:sz w:val="30"/>
          <w:szCs w:val="30"/>
        </w:rPr>
      </w:pPr>
      <w:r>
        <w:rPr>
          <w:rFonts w:eastAsiaTheme="minorEastAsia"/>
          <w:sz w:val="30"/>
          <w:szCs w:val="30"/>
        </w:rPr>
        <w:t xml:space="preserve">7. </w:t>
      </w:r>
      <w:r>
        <w:rPr>
          <w:rFonts w:eastAsia="仿宋"/>
          <w:sz w:val="30"/>
          <w:szCs w:val="30"/>
        </w:rPr>
        <w:t>响应承诺函</w:t>
      </w:r>
    </w:p>
    <w:p>
      <w:pPr>
        <w:spacing w:line="560" w:lineRule="exact"/>
        <w:ind w:left="600"/>
        <w:rPr>
          <w:rFonts w:eastAsia="仿宋"/>
          <w:sz w:val="30"/>
          <w:szCs w:val="30"/>
        </w:rPr>
      </w:pPr>
      <w:r>
        <w:rPr>
          <w:rFonts w:eastAsiaTheme="minorEastAsia"/>
          <w:sz w:val="30"/>
          <w:szCs w:val="30"/>
        </w:rPr>
        <w:t>8.</w:t>
      </w:r>
      <w:r>
        <w:rPr>
          <w:rFonts w:eastAsia="仿宋"/>
          <w:sz w:val="30"/>
          <w:szCs w:val="30"/>
        </w:rPr>
        <w:t>技术尽调服务方案</w:t>
      </w:r>
    </w:p>
    <w:p>
      <w:pPr>
        <w:spacing w:line="560" w:lineRule="exact"/>
        <w:ind w:left="600"/>
        <w:rPr>
          <w:rFonts w:eastAsia="仿宋"/>
          <w:sz w:val="30"/>
          <w:szCs w:val="30"/>
        </w:rPr>
      </w:pPr>
      <w:r>
        <w:rPr>
          <w:rFonts w:eastAsiaTheme="minorEastAsia"/>
          <w:sz w:val="30"/>
          <w:szCs w:val="30"/>
        </w:rPr>
        <w:t xml:space="preserve">9. </w:t>
      </w:r>
      <w:r>
        <w:rPr>
          <w:rFonts w:eastAsia="仿宋"/>
          <w:sz w:val="30"/>
          <w:szCs w:val="30"/>
        </w:rPr>
        <w:t>项目拟参与人员汇总表</w:t>
      </w:r>
    </w:p>
    <w:p>
      <w:pPr>
        <w:spacing w:line="560" w:lineRule="exact"/>
        <w:ind w:firstLine="600" w:firstLineChars="200"/>
        <w:rPr>
          <w:rFonts w:eastAsia="仿宋"/>
          <w:sz w:val="30"/>
          <w:szCs w:val="30"/>
        </w:rPr>
      </w:pPr>
      <w:r>
        <w:rPr>
          <w:rFonts w:eastAsiaTheme="minorEastAsia"/>
          <w:sz w:val="30"/>
          <w:szCs w:val="30"/>
        </w:rPr>
        <w:t xml:space="preserve">10. </w:t>
      </w:r>
      <w:r>
        <w:rPr>
          <w:rFonts w:eastAsia="仿宋"/>
          <w:sz w:val="30"/>
          <w:szCs w:val="30"/>
        </w:rPr>
        <w:t>项目负责人资历表</w:t>
      </w:r>
    </w:p>
    <w:p>
      <w:pPr>
        <w:spacing w:line="560" w:lineRule="exact"/>
        <w:ind w:left="600"/>
        <w:rPr>
          <w:rFonts w:eastAsia="仿宋"/>
          <w:sz w:val="30"/>
          <w:szCs w:val="30"/>
        </w:rPr>
      </w:pPr>
      <w:r>
        <w:rPr>
          <w:rFonts w:eastAsiaTheme="minorEastAsia"/>
          <w:sz w:val="30"/>
          <w:szCs w:val="30"/>
        </w:rPr>
        <w:t xml:space="preserve">11. </w:t>
      </w:r>
      <w:r>
        <w:rPr>
          <w:rFonts w:eastAsia="仿宋"/>
          <w:sz w:val="30"/>
          <w:szCs w:val="30"/>
        </w:rPr>
        <w:t>响应偏差表</w:t>
      </w:r>
    </w:p>
    <w:p>
      <w:pPr>
        <w:spacing w:line="560" w:lineRule="exact"/>
        <w:ind w:left="600"/>
        <w:rPr>
          <w:rFonts w:eastAsia="仿宋"/>
          <w:sz w:val="30"/>
          <w:szCs w:val="30"/>
        </w:rPr>
      </w:pPr>
      <w:r>
        <w:rPr>
          <w:rFonts w:eastAsiaTheme="minorEastAsia"/>
          <w:sz w:val="30"/>
          <w:szCs w:val="30"/>
        </w:rPr>
        <w:t xml:space="preserve">12. </w:t>
      </w:r>
      <w:r>
        <w:rPr>
          <w:rFonts w:eastAsia="仿宋"/>
          <w:sz w:val="30"/>
          <w:szCs w:val="30"/>
        </w:rPr>
        <w:t>营业执照复印件</w:t>
      </w:r>
    </w:p>
    <w:p>
      <w:pPr>
        <w:spacing w:line="560" w:lineRule="exact"/>
        <w:ind w:firstLine="600" w:firstLineChars="200"/>
        <w:rPr>
          <w:rFonts w:eastAsia="仿宋"/>
          <w:sz w:val="30"/>
          <w:szCs w:val="30"/>
        </w:rPr>
      </w:pPr>
      <w:r>
        <w:rPr>
          <w:rFonts w:hint="eastAsia" w:asciiTheme="minorEastAsia" w:hAnsiTheme="minorEastAsia" w:eastAsiaTheme="minorEastAsia"/>
          <w:sz w:val="30"/>
          <w:szCs w:val="30"/>
        </w:rPr>
        <w:t>⑬</w:t>
      </w:r>
      <w:r>
        <w:rPr>
          <w:rFonts w:eastAsia="仿宋"/>
          <w:sz w:val="30"/>
          <w:szCs w:val="30"/>
        </w:rPr>
        <w:t>资质证书复印件</w:t>
      </w:r>
    </w:p>
    <w:p>
      <w:pPr>
        <w:spacing w:line="560" w:lineRule="exact"/>
        <w:ind w:firstLine="600" w:firstLineChars="200"/>
        <w:rPr>
          <w:rFonts w:eastAsia="仿宋"/>
          <w:sz w:val="30"/>
          <w:szCs w:val="30"/>
        </w:rPr>
      </w:pPr>
      <w:r>
        <w:rPr>
          <w:rFonts w:hint="eastAsia" w:asciiTheme="minorEastAsia" w:hAnsiTheme="minorEastAsia" w:eastAsiaTheme="minorEastAsia"/>
          <w:sz w:val="30"/>
          <w:szCs w:val="30"/>
        </w:rPr>
        <w:t>⑭</w:t>
      </w:r>
      <w:r>
        <w:rPr>
          <w:rFonts w:asciiTheme="minorEastAsia" w:hAnsiTheme="minorEastAsia" w:eastAsiaTheme="minorEastAsia"/>
          <w:sz w:val="30"/>
          <w:szCs w:val="30"/>
        </w:rPr>
        <w:t xml:space="preserve"> </w:t>
      </w:r>
      <w:r>
        <w:rPr>
          <w:rFonts w:eastAsia="仿宋"/>
          <w:sz w:val="30"/>
          <w:szCs w:val="30"/>
        </w:rPr>
        <w:t>反商业贿赂承诺书</w:t>
      </w:r>
    </w:p>
    <w:p>
      <w:pPr>
        <w:ind w:firstLine="602" w:firstLineChars="200"/>
        <w:rPr>
          <w:rFonts w:eastAsia="仿宋"/>
          <w:b/>
          <w:sz w:val="30"/>
          <w:szCs w:val="30"/>
        </w:rPr>
      </w:pPr>
      <w:r>
        <w:rPr>
          <w:rFonts w:eastAsia="仿宋"/>
          <w:b/>
          <w:sz w:val="30"/>
          <w:szCs w:val="30"/>
        </w:rPr>
        <w:t>3.2 报价要求</w:t>
      </w:r>
    </w:p>
    <w:p>
      <w:pPr>
        <w:ind w:firstLine="600" w:firstLineChars="200"/>
        <w:rPr>
          <w:rFonts w:eastAsia="仿宋"/>
          <w:sz w:val="30"/>
          <w:szCs w:val="30"/>
        </w:rPr>
      </w:pPr>
      <w:r>
        <w:rPr>
          <w:rFonts w:eastAsia="仿宋"/>
          <w:sz w:val="30"/>
          <w:szCs w:val="30"/>
        </w:rPr>
        <w:t>3.2.1尽职调查服务的报价采用的币种为人民币。</w:t>
      </w:r>
    </w:p>
    <w:p>
      <w:pPr>
        <w:ind w:firstLine="600" w:firstLineChars="200"/>
        <w:rPr>
          <w:rFonts w:eastAsia="仿宋"/>
          <w:sz w:val="30"/>
          <w:szCs w:val="30"/>
        </w:rPr>
      </w:pPr>
      <w:r>
        <w:rPr>
          <w:rFonts w:eastAsia="仿宋"/>
          <w:sz w:val="30"/>
          <w:szCs w:val="30"/>
        </w:rPr>
        <w:t>3.2.2本次询价最高限价为：</w:t>
      </w:r>
      <w:r>
        <w:rPr>
          <w:rFonts w:eastAsia="仿宋"/>
          <w:sz w:val="30"/>
          <w:szCs w:val="30"/>
          <w:u w:val="single"/>
        </w:rPr>
        <w:t xml:space="preserve"> 2</w:t>
      </w:r>
      <w:r>
        <w:rPr>
          <w:rFonts w:hint="eastAsia" w:eastAsia="仿宋"/>
          <w:sz w:val="30"/>
          <w:szCs w:val="30"/>
          <w:u w:val="single"/>
          <w:lang w:val="en-US" w:eastAsia="zh-CN"/>
        </w:rPr>
        <w:t>7</w:t>
      </w:r>
      <w:r>
        <w:rPr>
          <w:rFonts w:eastAsia="仿宋"/>
          <w:sz w:val="30"/>
          <w:szCs w:val="30"/>
          <w:u w:val="single"/>
        </w:rPr>
        <w:t xml:space="preserve"> </w:t>
      </w:r>
      <w:r>
        <w:rPr>
          <w:rFonts w:eastAsia="仿宋"/>
          <w:sz w:val="30"/>
          <w:szCs w:val="30"/>
        </w:rPr>
        <w:t>万元人民币，超过限价的报价文件将被拒绝。项目执行过程中合同总价不调整。</w:t>
      </w:r>
    </w:p>
    <w:p>
      <w:pPr>
        <w:ind w:firstLine="600" w:firstLineChars="200"/>
        <w:rPr>
          <w:rFonts w:eastAsia="仿宋"/>
          <w:sz w:val="30"/>
          <w:szCs w:val="30"/>
        </w:rPr>
      </w:pPr>
      <w:r>
        <w:rPr>
          <w:rFonts w:eastAsia="仿宋"/>
          <w:sz w:val="30"/>
          <w:szCs w:val="30"/>
        </w:rPr>
        <w:t>3.2.3 尽职调查服务的响应人依据国家收费标准，并结合企业自身的管理水平和技术优势，计算完成询价文件所列询价范围内工作而发生的全部费用（含税固定总价）。</w:t>
      </w:r>
    </w:p>
    <w:p>
      <w:pPr>
        <w:ind w:firstLine="600" w:firstLineChars="200"/>
        <w:rPr>
          <w:rFonts w:eastAsia="仿宋"/>
          <w:sz w:val="30"/>
          <w:szCs w:val="30"/>
        </w:rPr>
      </w:pPr>
      <w:r>
        <w:rPr>
          <w:rFonts w:eastAsia="仿宋"/>
          <w:sz w:val="30"/>
          <w:szCs w:val="30"/>
        </w:rPr>
        <w:t>3.2.4 报价应包含提供服务的全部成本、合理利润及税费等一切费用。</w:t>
      </w:r>
    </w:p>
    <w:p>
      <w:pPr>
        <w:rPr>
          <w:rFonts w:eastAsia="仿宋"/>
          <w:sz w:val="30"/>
          <w:szCs w:val="30"/>
        </w:rPr>
      </w:pPr>
      <w:r>
        <w:rPr>
          <w:rFonts w:eastAsia="仿宋"/>
          <w:sz w:val="30"/>
          <w:szCs w:val="30"/>
        </w:rPr>
        <w:t xml:space="preserve">    3.2.5 对于响应人为完成本项目所必需却没有单独列项的费用，均应视为已包含在总报价中。</w:t>
      </w:r>
    </w:p>
    <w:p>
      <w:pPr>
        <w:ind w:firstLine="602" w:firstLineChars="200"/>
        <w:rPr>
          <w:rFonts w:eastAsia="仿宋"/>
          <w:b/>
          <w:sz w:val="30"/>
          <w:szCs w:val="30"/>
        </w:rPr>
      </w:pPr>
      <w:r>
        <w:rPr>
          <w:rFonts w:eastAsia="仿宋"/>
          <w:b/>
          <w:sz w:val="30"/>
          <w:szCs w:val="30"/>
        </w:rPr>
        <w:t>3.3 响应文件有效期</w:t>
      </w:r>
    </w:p>
    <w:p>
      <w:pPr>
        <w:ind w:firstLine="560" w:firstLineChars="200"/>
        <w:rPr>
          <w:rFonts w:eastAsia="仿宋"/>
          <w:sz w:val="28"/>
          <w:szCs w:val="28"/>
        </w:rPr>
      </w:pPr>
      <w:r>
        <w:rPr>
          <w:rFonts w:eastAsia="仿宋"/>
          <w:sz w:val="28"/>
          <w:szCs w:val="28"/>
        </w:rPr>
        <w:t>3.3.1 响应文件有效期60日，在此期间响应文件对响应人具有法律约束力，响应文件有效期从递交响应文件截止时间起计算。响应文件有效期不足的将被视为无效响应。</w:t>
      </w:r>
    </w:p>
    <w:p>
      <w:pPr>
        <w:ind w:firstLine="560" w:firstLineChars="200"/>
        <w:rPr>
          <w:rFonts w:eastAsia="仿宋"/>
          <w:sz w:val="28"/>
          <w:szCs w:val="28"/>
        </w:rPr>
      </w:pPr>
      <w:r>
        <w:rPr>
          <w:rFonts w:eastAsia="仿宋"/>
          <w:sz w:val="28"/>
          <w:szCs w:val="28"/>
        </w:rPr>
        <w:t>3.3.2 特殊情况下，采购人可于响应文件有效期满之前要求响应人同意延长有效期，要求与答复均应采用书面形式。</w:t>
      </w:r>
    </w:p>
    <w:p>
      <w:pPr>
        <w:ind w:firstLine="602" w:firstLineChars="200"/>
        <w:rPr>
          <w:rFonts w:eastAsia="仿宋"/>
          <w:b/>
          <w:sz w:val="30"/>
          <w:szCs w:val="30"/>
        </w:rPr>
      </w:pPr>
      <w:r>
        <w:rPr>
          <w:rFonts w:eastAsia="仿宋"/>
          <w:b/>
          <w:sz w:val="30"/>
          <w:szCs w:val="30"/>
        </w:rPr>
        <w:t>3.4 响应文件的式样和签署</w:t>
      </w:r>
    </w:p>
    <w:p>
      <w:pPr>
        <w:ind w:firstLine="560" w:firstLineChars="200"/>
        <w:rPr>
          <w:rFonts w:eastAsia="仿宋"/>
          <w:sz w:val="28"/>
          <w:szCs w:val="28"/>
        </w:rPr>
      </w:pPr>
      <w:r>
        <w:rPr>
          <w:rFonts w:eastAsia="仿宋"/>
          <w:sz w:val="28"/>
          <w:szCs w:val="28"/>
        </w:rPr>
        <w:t>3.4.1 响应人应按第三部分“响应文件格式”的要求，编制询价响应文件。</w:t>
      </w:r>
    </w:p>
    <w:p>
      <w:pPr>
        <w:ind w:firstLine="560" w:firstLineChars="200"/>
        <w:rPr>
          <w:rFonts w:eastAsia="仿宋"/>
          <w:sz w:val="28"/>
          <w:szCs w:val="28"/>
        </w:rPr>
      </w:pPr>
      <w:r>
        <w:rPr>
          <w:rFonts w:eastAsia="仿宋"/>
          <w:sz w:val="28"/>
          <w:szCs w:val="28"/>
        </w:rPr>
        <w:t>3.4.2 响应文件应用不褪色的墨水书写或打印，由响应人的法定代表人或其授权的代理人在指定页签署姓名或加盖公章，未按要求签署姓名或加盖公章的，其响应文件将作为无效处理。</w:t>
      </w:r>
    </w:p>
    <w:p>
      <w:pPr>
        <w:ind w:firstLine="560" w:firstLineChars="200"/>
        <w:rPr>
          <w:rFonts w:eastAsia="仿宋"/>
          <w:sz w:val="28"/>
          <w:szCs w:val="28"/>
        </w:rPr>
      </w:pPr>
      <w:r>
        <w:rPr>
          <w:rFonts w:eastAsia="仿宋"/>
          <w:sz w:val="28"/>
          <w:szCs w:val="28"/>
        </w:rPr>
        <w:t>3.4.3 响应文件的任何一页都不应涂改、行间插字或删除。如果出现上述情况，不论何种原因造成，均应由响应文件的签署人在改动处签字或加盖公章。</w:t>
      </w:r>
    </w:p>
    <w:p>
      <w:pPr>
        <w:ind w:firstLine="560" w:firstLineChars="200"/>
        <w:rPr>
          <w:rFonts w:eastAsia="仿宋"/>
          <w:sz w:val="28"/>
          <w:szCs w:val="28"/>
        </w:rPr>
      </w:pPr>
      <w:r>
        <w:rPr>
          <w:rFonts w:eastAsia="仿宋"/>
          <w:sz w:val="28"/>
          <w:szCs w:val="28"/>
        </w:rPr>
        <w:t>3.4.4 响应文件应装订成册，不得采用活页夹。</w:t>
      </w:r>
    </w:p>
    <w:p>
      <w:pPr>
        <w:ind w:firstLine="602" w:firstLineChars="200"/>
        <w:rPr>
          <w:rFonts w:eastAsia="仿宋"/>
          <w:b/>
          <w:sz w:val="30"/>
          <w:szCs w:val="30"/>
        </w:rPr>
      </w:pPr>
      <w:r>
        <w:rPr>
          <w:rFonts w:eastAsia="仿宋"/>
          <w:b/>
          <w:sz w:val="30"/>
          <w:szCs w:val="30"/>
        </w:rPr>
        <w:t>3.5 响应文件的密封</w:t>
      </w:r>
    </w:p>
    <w:p>
      <w:pPr>
        <w:ind w:firstLine="560" w:firstLineChars="200"/>
        <w:rPr>
          <w:rFonts w:eastAsia="仿宋"/>
          <w:sz w:val="28"/>
          <w:szCs w:val="28"/>
        </w:rPr>
      </w:pPr>
      <w:r>
        <w:rPr>
          <w:rFonts w:eastAsia="仿宋"/>
          <w:sz w:val="28"/>
          <w:szCs w:val="28"/>
        </w:rPr>
        <w:t>3.5.1 响应文件的密封</w:t>
      </w:r>
    </w:p>
    <w:p>
      <w:pPr>
        <w:ind w:firstLine="560" w:firstLineChars="200"/>
        <w:rPr>
          <w:rFonts w:eastAsia="仿宋"/>
          <w:sz w:val="28"/>
          <w:szCs w:val="28"/>
        </w:rPr>
      </w:pPr>
      <w:r>
        <w:rPr>
          <w:rFonts w:eastAsia="仿宋"/>
          <w:sz w:val="28"/>
          <w:szCs w:val="28"/>
        </w:rPr>
        <w:t>响应人应将响应文件包装并密封，包装上由响应人法定代表人或其授权的代理人签署姓名或加盖公章，未密封的响应文件将不予签收。</w:t>
      </w:r>
    </w:p>
    <w:p>
      <w:pPr>
        <w:ind w:firstLine="560" w:firstLineChars="200"/>
        <w:rPr>
          <w:rFonts w:eastAsia="仿宋"/>
          <w:sz w:val="28"/>
          <w:szCs w:val="28"/>
        </w:rPr>
      </w:pPr>
      <w:r>
        <w:rPr>
          <w:rFonts w:eastAsia="仿宋"/>
          <w:sz w:val="28"/>
          <w:szCs w:val="28"/>
        </w:rPr>
        <w:t>3.5.2 响应文件的份数：一本正本，一本副本。</w:t>
      </w:r>
    </w:p>
    <w:p>
      <w:pPr>
        <w:ind w:firstLine="602" w:firstLineChars="200"/>
        <w:rPr>
          <w:rFonts w:eastAsia="仿宋"/>
          <w:b/>
          <w:sz w:val="30"/>
          <w:szCs w:val="30"/>
        </w:rPr>
      </w:pPr>
      <w:r>
        <w:rPr>
          <w:rFonts w:eastAsia="仿宋"/>
          <w:b/>
          <w:sz w:val="30"/>
          <w:szCs w:val="30"/>
        </w:rPr>
        <w:t>3.6 响应文件的递交</w:t>
      </w:r>
    </w:p>
    <w:p>
      <w:pPr>
        <w:spacing w:line="400" w:lineRule="exact"/>
        <w:ind w:firstLine="560" w:firstLineChars="200"/>
        <w:rPr>
          <w:rFonts w:eastAsia="仿宋"/>
          <w:sz w:val="28"/>
          <w:szCs w:val="28"/>
        </w:rPr>
      </w:pPr>
      <w:r>
        <w:rPr>
          <w:rFonts w:eastAsia="仿宋"/>
          <w:sz w:val="28"/>
          <w:szCs w:val="28"/>
        </w:rPr>
        <w:t>3.6.1响应文件递交截止时间：2022年</w:t>
      </w:r>
      <w:r>
        <w:rPr>
          <w:rFonts w:eastAsia="仿宋"/>
          <w:sz w:val="28"/>
          <w:szCs w:val="28"/>
          <w:u w:val="single"/>
        </w:rPr>
        <w:t xml:space="preserve"> 8 </w:t>
      </w:r>
      <w:r>
        <w:rPr>
          <w:rFonts w:eastAsia="仿宋"/>
          <w:sz w:val="28"/>
          <w:szCs w:val="28"/>
        </w:rPr>
        <w:t>月</w:t>
      </w:r>
      <w:r>
        <w:rPr>
          <w:rFonts w:eastAsia="仿宋"/>
          <w:sz w:val="28"/>
          <w:szCs w:val="28"/>
          <w:u w:val="single"/>
        </w:rPr>
        <w:t xml:space="preserve"> </w:t>
      </w:r>
      <w:r>
        <w:rPr>
          <w:rFonts w:hint="eastAsia" w:eastAsia="仿宋"/>
          <w:sz w:val="28"/>
          <w:szCs w:val="28"/>
          <w:u w:val="single"/>
          <w:lang w:val="en-US" w:eastAsia="zh-CN"/>
        </w:rPr>
        <w:t>4</w:t>
      </w:r>
      <w:r>
        <w:rPr>
          <w:rFonts w:eastAsia="仿宋"/>
          <w:sz w:val="28"/>
          <w:szCs w:val="28"/>
          <w:u w:val="single"/>
        </w:rPr>
        <w:t xml:space="preserve"> </w:t>
      </w:r>
      <w:r>
        <w:rPr>
          <w:rFonts w:eastAsia="仿宋"/>
          <w:sz w:val="28"/>
          <w:szCs w:val="28"/>
        </w:rPr>
        <w:t>日14时00分，响应文件递交地址：江西省南昌市西湖区广场南路136号交通物资大楼3楼。</w:t>
      </w:r>
    </w:p>
    <w:p>
      <w:pPr>
        <w:ind w:firstLine="560" w:firstLineChars="200"/>
        <w:rPr>
          <w:rFonts w:eastAsia="仿宋"/>
          <w:sz w:val="28"/>
          <w:szCs w:val="28"/>
        </w:rPr>
      </w:pPr>
      <w:r>
        <w:rPr>
          <w:rFonts w:eastAsia="仿宋"/>
          <w:sz w:val="28"/>
          <w:szCs w:val="28"/>
        </w:rPr>
        <w:t>3.6.2 采购人可以根据情况，通过修改询价文件自行决定酌情延长响应文件截止期。在此情况下，受询价活动截止期制约的所有权利和义务均应延长至新的截止日期。</w:t>
      </w:r>
    </w:p>
    <w:p>
      <w:pPr>
        <w:ind w:firstLine="560" w:firstLineChars="200"/>
        <w:rPr>
          <w:rFonts w:eastAsia="仿宋"/>
          <w:sz w:val="28"/>
          <w:szCs w:val="28"/>
        </w:rPr>
      </w:pPr>
    </w:p>
    <w:p>
      <w:pPr>
        <w:ind w:firstLine="643" w:firstLineChars="200"/>
        <w:rPr>
          <w:rFonts w:eastAsia="仿宋"/>
          <w:b/>
          <w:sz w:val="32"/>
          <w:szCs w:val="32"/>
        </w:rPr>
      </w:pPr>
      <w:r>
        <w:rPr>
          <w:rFonts w:eastAsia="仿宋"/>
          <w:b/>
          <w:sz w:val="32"/>
          <w:szCs w:val="32"/>
        </w:rPr>
        <w:t>4 响应文件的评审</w:t>
      </w:r>
    </w:p>
    <w:p>
      <w:pPr>
        <w:ind w:firstLine="602" w:firstLineChars="200"/>
        <w:rPr>
          <w:rFonts w:eastAsia="仿宋"/>
          <w:b/>
          <w:sz w:val="30"/>
          <w:szCs w:val="30"/>
        </w:rPr>
      </w:pPr>
      <w:r>
        <w:rPr>
          <w:rFonts w:eastAsia="仿宋"/>
          <w:b/>
          <w:sz w:val="30"/>
          <w:szCs w:val="30"/>
        </w:rPr>
        <w:t>4.1 响应文件的开启</w:t>
      </w:r>
    </w:p>
    <w:p>
      <w:pPr>
        <w:ind w:firstLine="560" w:firstLineChars="200"/>
        <w:rPr>
          <w:rFonts w:eastAsia="仿宋"/>
          <w:sz w:val="28"/>
          <w:szCs w:val="28"/>
        </w:rPr>
      </w:pPr>
      <w:r>
        <w:rPr>
          <w:rFonts w:eastAsia="仿宋"/>
          <w:sz w:val="28"/>
          <w:szCs w:val="28"/>
        </w:rPr>
        <w:t>4.1.1 采购人在响应文件开启时间和地点公开开启响应文件。</w:t>
      </w:r>
    </w:p>
    <w:p>
      <w:pPr>
        <w:ind w:firstLine="560" w:firstLineChars="200"/>
        <w:rPr>
          <w:rFonts w:eastAsia="仿宋"/>
          <w:sz w:val="28"/>
          <w:szCs w:val="28"/>
        </w:rPr>
      </w:pPr>
      <w:r>
        <w:rPr>
          <w:rFonts w:eastAsia="仿宋"/>
          <w:sz w:val="28"/>
          <w:szCs w:val="28"/>
        </w:rPr>
        <w:t>4.1.2 响应文件开启后，公布响应人名称等采购人认为适当的其他内容，并制作书面记录。</w:t>
      </w:r>
    </w:p>
    <w:p>
      <w:pPr>
        <w:ind w:firstLine="560" w:firstLineChars="200"/>
        <w:rPr>
          <w:rFonts w:eastAsia="仿宋"/>
          <w:sz w:val="28"/>
          <w:szCs w:val="28"/>
        </w:rPr>
      </w:pPr>
      <w:r>
        <w:rPr>
          <w:rFonts w:eastAsia="仿宋"/>
          <w:sz w:val="28"/>
          <w:szCs w:val="28"/>
        </w:rPr>
        <w:t>4.1.3 响应人应在书面记录上签字确认，未签字确认的视为默认响应文件开启结果。</w:t>
      </w:r>
    </w:p>
    <w:p>
      <w:pPr>
        <w:pStyle w:val="2"/>
        <w:ind w:firstLine="640"/>
      </w:pPr>
    </w:p>
    <w:p>
      <w:pPr>
        <w:ind w:firstLine="602" w:firstLineChars="200"/>
        <w:rPr>
          <w:rFonts w:eastAsia="仿宋"/>
          <w:b/>
          <w:sz w:val="30"/>
          <w:szCs w:val="30"/>
        </w:rPr>
      </w:pPr>
      <w:r>
        <w:rPr>
          <w:rFonts w:eastAsia="仿宋"/>
          <w:b/>
          <w:sz w:val="30"/>
          <w:szCs w:val="30"/>
        </w:rPr>
        <w:t>4.2 评审办法</w:t>
      </w:r>
    </w:p>
    <w:p>
      <w:pPr>
        <w:ind w:firstLine="560" w:firstLineChars="200"/>
        <w:rPr>
          <w:rFonts w:eastAsia="仿宋"/>
          <w:sz w:val="28"/>
          <w:szCs w:val="28"/>
        </w:rPr>
      </w:pPr>
      <w:r>
        <w:rPr>
          <w:rFonts w:eastAsia="仿宋"/>
          <w:sz w:val="28"/>
          <w:szCs w:val="28"/>
        </w:rPr>
        <w:t>4.2.1 评审小组</w:t>
      </w:r>
    </w:p>
    <w:p>
      <w:pPr>
        <w:ind w:firstLine="560" w:firstLineChars="200"/>
        <w:rPr>
          <w:rFonts w:eastAsia="仿宋"/>
          <w:sz w:val="28"/>
          <w:szCs w:val="28"/>
        </w:rPr>
      </w:pPr>
      <w:r>
        <w:rPr>
          <w:rFonts w:eastAsia="仿宋"/>
          <w:sz w:val="28"/>
          <w:szCs w:val="28"/>
        </w:rPr>
        <w:t>采购人将组建评审小组，评审小组由采购人代表组成，人数为3人及以上单数。评审小组负责对响应人进行资格审查、形式与响应性审查，进行综合评分，并按综合评分由高到低的顺序推荐成交候选人。</w:t>
      </w:r>
    </w:p>
    <w:p>
      <w:pPr>
        <w:ind w:firstLine="560" w:firstLineChars="200"/>
        <w:rPr>
          <w:rFonts w:eastAsia="仿宋"/>
          <w:sz w:val="28"/>
          <w:szCs w:val="28"/>
        </w:rPr>
      </w:pPr>
      <w:r>
        <w:rPr>
          <w:rFonts w:eastAsia="仿宋"/>
          <w:sz w:val="28"/>
          <w:szCs w:val="28"/>
        </w:rPr>
        <w:t>4.2.2评审办法</w:t>
      </w:r>
    </w:p>
    <w:p>
      <w:pPr>
        <w:ind w:firstLine="560" w:firstLineChars="200"/>
        <w:rPr>
          <w:rFonts w:eastAsia="仿宋"/>
          <w:sz w:val="28"/>
          <w:szCs w:val="28"/>
        </w:rPr>
      </w:pPr>
      <w:r>
        <w:rPr>
          <w:rFonts w:eastAsia="仿宋"/>
          <w:sz w:val="28"/>
          <w:szCs w:val="28"/>
        </w:rPr>
        <w:t>评审小组会对满足响应文件实质性要求的响应文件，按照规定的评分标准进行打分，并按得分由高到低顺序推荐成交候选人。综合评分相等时，以报价低的优先；报价也相等的，以技术尽调服务方案得分高的优先。</w:t>
      </w:r>
    </w:p>
    <w:p>
      <w:pPr>
        <w:ind w:firstLine="560" w:firstLineChars="200"/>
        <w:rPr>
          <w:rFonts w:eastAsia="仿宋"/>
          <w:sz w:val="28"/>
          <w:szCs w:val="28"/>
        </w:rPr>
      </w:pPr>
      <w:r>
        <w:rPr>
          <w:rFonts w:eastAsia="仿宋"/>
          <w:sz w:val="28"/>
          <w:szCs w:val="28"/>
        </w:rPr>
        <w:t>响应报价有算术错误的，评审委员会按以下原则对响应报价进行修正，修正的价格经响应人书面确认后具有约束力。响应人不接受修正价格的，评审委员会应当否决其响应。</w:t>
      </w:r>
    </w:p>
    <w:p>
      <w:pPr>
        <w:ind w:firstLine="560" w:firstLineChars="200"/>
        <w:rPr>
          <w:rFonts w:eastAsia="仿宋"/>
          <w:sz w:val="28"/>
          <w:szCs w:val="28"/>
        </w:rPr>
      </w:pPr>
      <w:r>
        <w:rPr>
          <w:rFonts w:eastAsia="仿宋"/>
          <w:sz w:val="28"/>
          <w:szCs w:val="28"/>
        </w:rPr>
        <w:t>（1）响应文件中的大写金额与小写金额不一致的，以大写金额为准；</w:t>
      </w:r>
    </w:p>
    <w:p>
      <w:pPr>
        <w:ind w:firstLine="560" w:firstLineChars="200"/>
        <w:rPr>
          <w:rFonts w:eastAsia="仿宋"/>
          <w:sz w:val="28"/>
          <w:szCs w:val="28"/>
        </w:rPr>
      </w:pPr>
      <w:r>
        <w:rPr>
          <w:rFonts w:eastAsia="仿宋"/>
          <w:sz w:val="28"/>
          <w:szCs w:val="28"/>
        </w:rPr>
        <w:t>（2）总价金额与依据单价计算出的结果不一致的，以单价金额为准修正总价，但单价金额小数点有明显错误的除外。</w:t>
      </w:r>
    </w:p>
    <w:p>
      <w:pPr>
        <w:ind w:firstLine="560" w:firstLineChars="200"/>
        <w:rPr>
          <w:rFonts w:eastAsia="仿宋"/>
          <w:sz w:val="28"/>
          <w:szCs w:val="28"/>
        </w:rPr>
      </w:pPr>
    </w:p>
    <w:tbl>
      <w:tblPr>
        <w:tblStyle w:val="5"/>
        <w:tblW w:w="8336" w:type="dxa"/>
        <w:tblInd w:w="0" w:type="dxa"/>
        <w:tblLayout w:type="fixed"/>
        <w:tblCellMar>
          <w:top w:w="0" w:type="dxa"/>
          <w:left w:w="0" w:type="dxa"/>
          <w:bottom w:w="0" w:type="dxa"/>
          <w:right w:w="0" w:type="dxa"/>
        </w:tblCellMar>
      </w:tblPr>
      <w:tblGrid>
        <w:gridCol w:w="630"/>
        <w:gridCol w:w="1224"/>
        <w:gridCol w:w="2292"/>
        <w:gridCol w:w="1110"/>
        <w:gridCol w:w="3080"/>
      </w:tblGrid>
      <w:tr>
        <w:tblPrEx>
          <w:tblCellMar>
            <w:top w:w="0" w:type="dxa"/>
            <w:left w:w="0" w:type="dxa"/>
            <w:bottom w:w="0" w:type="dxa"/>
            <w:right w:w="0" w:type="dxa"/>
          </w:tblCellMar>
        </w:tblPrEx>
        <w:trPr>
          <w:trHeight w:val="405" w:hRule="atLeast"/>
        </w:trPr>
        <w:tc>
          <w:tcPr>
            <w:tcW w:w="1854"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color w:val="000000"/>
                <w:sz w:val="24"/>
              </w:rPr>
            </w:pPr>
            <w:r>
              <w:rPr>
                <w:color w:val="000000"/>
                <w:kern w:val="0"/>
                <w:sz w:val="24"/>
              </w:rPr>
              <w:t xml:space="preserve">  </w:t>
            </w:r>
            <w:r>
              <w:rPr>
                <w:b/>
                <w:color w:val="000000"/>
                <w:kern w:val="0"/>
                <w:sz w:val="24"/>
              </w:rPr>
              <w:t>条款号</w:t>
            </w:r>
          </w:p>
        </w:tc>
        <w:tc>
          <w:tcPr>
            <w:tcW w:w="229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b/>
                <w:color w:val="000000"/>
                <w:sz w:val="24"/>
              </w:rPr>
            </w:pPr>
            <w:r>
              <w:rPr>
                <w:b/>
                <w:color w:val="000000"/>
                <w:kern w:val="0"/>
                <w:sz w:val="24"/>
              </w:rPr>
              <w:t>评审因素</w:t>
            </w:r>
          </w:p>
        </w:tc>
        <w:tc>
          <w:tcPr>
            <w:tcW w:w="4190"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b/>
                <w:color w:val="000000"/>
                <w:sz w:val="24"/>
              </w:rPr>
            </w:pPr>
            <w:r>
              <w:rPr>
                <w:b/>
                <w:color w:val="000000"/>
                <w:kern w:val="0"/>
                <w:sz w:val="24"/>
              </w:rPr>
              <w:t>评审标准</w:t>
            </w:r>
          </w:p>
        </w:tc>
      </w:tr>
      <w:tr>
        <w:tblPrEx>
          <w:tblCellMar>
            <w:top w:w="0" w:type="dxa"/>
            <w:left w:w="0" w:type="dxa"/>
            <w:bottom w:w="0" w:type="dxa"/>
            <w:right w:w="0" w:type="dxa"/>
          </w:tblCellMar>
        </w:tblPrEx>
        <w:trPr>
          <w:trHeight w:val="540" w:hRule="atLeast"/>
        </w:trPr>
        <w:tc>
          <w:tcPr>
            <w:tcW w:w="630" w:type="dxa"/>
            <w:vMerge w:val="restar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color w:val="000000"/>
                <w:sz w:val="24"/>
              </w:rPr>
            </w:pPr>
            <w:r>
              <w:rPr>
                <w:color w:val="000000"/>
                <w:kern w:val="0"/>
                <w:sz w:val="24"/>
              </w:rPr>
              <w:t>2.1.1</w:t>
            </w:r>
          </w:p>
        </w:tc>
        <w:tc>
          <w:tcPr>
            <w:tcW w:w="1224" w:type="dxa"/>
            <w:vMerge w:val="restar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color w:val="000000"/>
                <w:sz w:val="22"/>
                <w:szCs w:val="22"/>
              </w:rPr>
            </w:pPr>
            <w:r>
              <w:rPr>
                <w:color w:val="000000"/>
                <w:kern w:val="0"/>
                <w:sz w:val="22"/>
                <w:szCs w:val="22"/>
              </w:rPr>
              <w:t>形式评审及响应性评审标准</w:t>
            </w:r>
          </w:p>
        </w:tc>
        <w:tc>
          <w:tcPr>
            <w:tcW w:w="229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color w:val="000000"/>
                <w:sz w:val="22"/>
                <w:szCs w:val="22"/>
              </w:rPr>
            </w:pPr>
            <w:r>
              <w:rPr>
                <w:color w:val="000000"/>
                <w:kern w:val="0"/>
                <w:sz w:val="22"/>
                <w:szCs w:val="22"/>
              </w:rPr>
              <w:t>响应人名称</w:t>
            </w:r>
          </w:p>
        </w:tc>
        <w:tc>
          <w:tcPr>
            <w:tcW w:w="4190"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textAlignment w:val="center"/>
              <w:rPr>
                <w:color w:val="000000"/>
                <w:sz w:val="22"/>
                <w:szCs w:val="22"/>
              </w:rPr>
            </w:pPr>
            <w:r>
              <w:rPr>
                <w:color w:val="000000"/>
                <w:kern w:val="0"/>
                <w:sz w:val="22"/>
                <w:szCs w:val="22"/>
              </w:rPr>
              <w:t>与营业执照、资质证书相互一致。</w:t>
            </w:r>
          </w:p>
        </w:tc>
      </w:tr>
      <w:tr>
        <w:tblPrEx>
          <w:tblCellMar>
            <w:top w:w="0" w:type="dxa"/>
            <w:left w:w="0" w:type="dxa"/>
            <w:bottom w:w="0" w:type="dxa"/>
            <w:right w:w="0" w:type="dxa"/>
          </w:tblCellMar>
        </w:tblPrEx>
        <w:trPr>
          <w:trHeight w:val="780" w:hRule="atLeast"/>
        </w:trPr>
        <w:tc>
          <w:tcPr>
            <w:tcW w:w="630"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color w:val="000000"/>
                <w:sz w:val="24"/>
              </w:rPr>
            </w:pPr>
          </w:p>
        </w:tc>
        <w:tc>
          <w:tcPr>
            <w:tcW w:w="1224"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left"/>
              <w:rPr>
                <w:color w:val="000000"/>
                <w:sz w:val="22"/>
                <w:szCs w:val="22"/>
              </w:rPr>
            </w:pPr>
          </w:p>
        </w:tc>
        <w:tc>
          <w:tcPr>
            <w:tcW w:w="229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color w:val="000000"/>
                <w:sz w:val="22"/>
                <w:szCs w:val="22"/>
              </w:rPr>
            </w:pPr>
            <w:r>
              <w:rPr>
                <w:color w:val="000000"/>
                <w:kern w:val="0"/>
                <w:sz w:val="22"/>
                <w:szCs w:val="22"/>
              </w:rPr>
              <w:t>报价函签字盖章</w:t>
            </w:r>
          </w:p>
        </w:tc>
        <w:tc>
          <w:tcPr>
            <w:tcW w:w="4190"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textAlignment w:val="center"/>
              <w:rPr>
                <w:color w:val="000000"/>
                <w:sz w:val="22"/>
                <w:szCs w:val="22"/>
              </w:rPr>
            </w:pPr>
            <w:r>
              <w:rPr>
                <w:color w:val="000000"/>
                <w:kern w:val="0"/>
                <w:sz w:val="22"/>
                <w:szCs w:val="22"/>
              </w:rPr>
              <w:t>有法定代表人或其委托代理人签字且加盖公章。</w:t>
            </w:r>
          </w:p>
        </w:tc>
      </w:tr>
      <w:tr>
        <w:tblPrEx>
          <w:tblCellMar>
            <w:top w:w="0" w:type="dxa"/>
            <w:left w:w="0" w:type="dxa"/>
            <w:bottom w:w="0" w:type="dxa"/>
            <w:right w:w="0" w:type="dxa"/>
          </w:tblCellMar>
        </w:tblPrEx>
        <w:trPr>
          <w:trHeight w:val="500" w:hRule="atLeast"/>
        </w:trPr>
        <w:tc>
          <w:tcPr>
            <w:tcW w:w="630"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color w:val="000000"/>
                <w:sz w:val="24"/>
              </w:rPr>
            </w:pPr>
          </w:p>
        </w:tc>
        <w:tc>
          <w:tcPr>
            <w:tcW w:w="1224"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left"/>
              <w:rPr>
                <w:color w:val="000000"/>
                <w:sz w:val="22"/>
                <w:szCs w:val="22"/>
              </w:rPr>
            </w:pPr>
          </w:p>
        </w:tc>
        <w:tc>
          <w:tcPr>
            <w:tcW w:w="229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color w:val="000000"/>
                <w:sz w:val="22"/>
                <w:szCs w:val="22"/>
              </w:rPr>
            </w:pPr>
            <w:r>
              <w:rPr>
                <w:color w:val="000000"/>
                <w:kern w:val="0"/>
                <w:sz w:val="22"/>
                <w:szCs w:val="22"/>
              </w:rPr>
              <w:t>报价</w:t>
            </w:r>
          </w:p>
        </w:tc>
        <w:tc>
          <w:tcPr>
            <w:tcW w:w="4190"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textAlignment w:val="center"/>
              <w:rPr>
                <w:color w:val="000000"/>
                <w:sz w:val="22"/>
                <w:szCs w:val="22"/>
              </w:rPr>
            </w:pPr>
            <w:r>
              <w:rPr>
                <w:color w:val="000000"/>
                <w:sz w:val="22"/>
                <w:szCs w:val="22"/>
              </w:rPr>
              <w:t>未超过最高限价，有且只有一个有效报价。</w:t>
            </w:r>
          </w:p>
        </w:tc>
      </w:tr>
      <w:tr>
        <w:tblPrEx>
          <w:tblCellMar>
            <w:top w:w="0" w:type="dxa"/>
            <w:left w:w="0" w:type="dxa"/>
            <w:bottom w:w="0" w:type="dxa"/>
            <w:right w:w="0" w:type="dxa"/>
          </w:tblCellMar>
        </w:tblPrEx>
        <w:trPr>
          <w:trHeight w:val="795" w:hRule="atLeast"/>
        </w:trPr>
        <w:tc>
          <w:tcPr>
            <w:tcW w:w="630"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color w:val="000000"/>
                <w:sz w:val="24"/>
              </w:rPr>
            </w:pPr>
          </w:p>
        </w:tc>
        <w:tc>
          <w:tcPr>
            <w:tcW w:w="1224"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left"/>
              <w:rPr>
                <w:color w:val="000000"/>
                <w:sz w:val="22"/>
                <w:szCs w:val="22"/>
              </w:rPr>
            </w:pPr>
          </w:p>
        </w:tc>
        <w:tc>
          <w:tcPr>
            <w:tcW w:w="229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color w:val="000000"/>
                <w:sz w:val="22"/>
                <w:szCs w:val="22"/>
              </w:rPr>
            </w:pPr>
            <w:r>
              <w:rPr>
                <w:color w:val="000000"/>
                <w:kern w:val="0"/>
                <w:sz w:val="22"/>
                <w:szCs w:val="22"/>
              </w:rPr>
              <w:t>响应文件格式和签署</w:t>
            </w:r>
          </w:p>
        </w:tc>
        <w:tc>
          <w:tcPr>
            <w:tcW w:w="4190"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textAlignment w:val="center"/>
              <w:rPr>
                <w:color w:val="000000"/>
                <w:sz w:val="22"/>
                <w:szCs w:val="22"/>
              </w:rPr>
            </w:pPr>
            <w:r>
              <w:rPr>
                <w:color w:val="000000"/>
                <w:kern w:val="0"/>
                <w:sz w:val="22"/>
                <w:szCs w:val="22"/>
              </w:rPr>
              <w:t>满足第二部分 询价要求中第3.4款。</w:t>
            </w:r>
          </w:p>
        </w:tc>
      </w:tr>
      <w:tr>
        <w:tblPrEx>
          <w:tblCellMar>
            <w:top w:w="0" w:type="dxa"/>
            <w:left w:w="0" w:type="dxa"/>
            <w:bottom w:w="0" w:type="dxa"/>
            <w:right w:w="0" w:type="dxa"/>
          </w:tblCellMar>
        </w:tblPrEx>
        <w:trPr>
          <w:trHeight w:val="1025" w:hRule="atLeast"/>
        </w:trPr>
        <w:tc>
          <w:tcPr>
            <w:tcW w:w="630"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color w:val="000000"/>
                <w:sz w:val="24"/>
              </w:rPr>
            </w:pPr>
          </w:p>
        </w:tc>
        <w:tc>
          <w:tcPr>
            <w:tcW w:w="1224"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left"/>
              <w:rPr>
                <w:color w:val="000000"/>
                <w:sz w:val="22"/>
                <w:szCs w:val="22"/>
              </w:rPr>
            </w:pPr>
          </w:p>
        </w:tc>
        <w:tc>
          <w:tcPr>
            <w:tcW w:w="229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color w:val="000000"/>
                <w:sz w:val="22"/>
                <w:szCs w:val="22"/>
              </w:rPr>
            </w:pPr>
            <w:r>
              <w:rPr>
                <w:color w:val="000000"/>
                <w:kern w:val="0"/>
                <w:sz w:val="22"/>
                <w:szCs w:val="22"/>
              </w:rPr>
              <w:t>质量承诺</w:t>
            </w:r>
          </w:p>
        </w:tc>
        <w:tc>
          <w:tcPr>
            <w:tcW w:w="4190"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textAlignment w:val="center"/>
              <w:rPr>
                <w:color w:val="000000"/>
                <w:sz w:val="22"/>
                <w:szCs w:val="22"/>
              </w:rPr>
            </w:pPr>
            <w:r>
              <w:rPr>
                <w:color w:val="000000"/>
                <w:kern w:val="0"/>
                <w:sz w:val="22"/>
                <w:szCs w:val="22"/>
              </w:rPr>
              <w:t>技术尽职调查文件符合国家或行标规定的设计技术要求、国家抽样检验要求，并严格执行国家强制性标准。</w:t>
            </w:r>
          </w:p>
        </w:tc>
      </w:tr>
      <w:tr>
        <w:tblPrEx>
          <w:tblCellMar>
            <w:top w:w="0" w:type="dxa"/>
            <w:left w:w="0" w:type="dxa"/>
            <w:bottom w:w="0" w:type="dxa"/>
            <w:right w:w="0" w:type="dxa"/>
          </w:tblCellMar>
        </w:tblPrEx>
        <w:trPr>
          <w:trHeight w:val="1070" w:hRule="atLeast"/>
        </w:trPr>
        <w:tc>
          <w:tcPr>
            <w:tcW w:w="630"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color w:val="000000"/>
                <w:sz w:val="24"/>
              </w:rPr>
            </w:pPr>
          </w:p>
        </w:tc>
        <w:tc>
          <w:tcPr>
            <w:tcW w:w="1224"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left"/>
              <w:rPr>
                <w:color w:val="000000"/>
                <w:sz w:val="22"/>
                <w:szCs w:val="22"/>
              </w:rPr>
            </w:pPr>
          </w:p>
        </w:tc>
        <w:tc>
          <w:tcPr>
            <w:tcW w:w="229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color w:val="000000"/>
                <w:sz w:val="22"/>
                <w:szCs w:val="22"/>
              </w:rPr>
            </w:pPr>
            <w:r>
              <w:rPr>
                <w:color w:val="000000"/>
                <w:kern w:val="0"/>
                <w:sz w:val="22"/>
                <w:szCs w:val="22"/>
              </w:rPr>
              <w:t>工期</w:t>
            </w:r>
          </w:p>
        </w:tc>
        <w:tc>
          <w:tcPr>
            <w:tcW w:w="4190"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textAlignment w:val="center"/>
              <w:rPr>
                <w:color w:val="000000"/>
                <w:kern w:val="0"/>
                <w:sz w:val="22"/>
                <w:szCs w:val="22"/>
              </w:rPr>
            </w:pPr>
            <w:r>
              <w:rPr>
                <w:color w:val="000000"/>
                <w:kern w:val="0"/>
                <w:sz w:val="22"/>
                <w:szCs w:val="22"/>
              </w:rPr>
              <w:t>计划周期为30日历天。</w:t>
            </w:r>
          </w:p>
          <w:p>
            <w:pPr>
              <w:widowControl/>
              <w:textAlignment w:val="center"/>
              <w:rPr>
                <w:color w:val="000000"/>
                <w:sz w:val="22"/>
                <w:szCs w:val="22"/>
              </w:rPr>
            </w:pPr>
            <w:r>
              <w:rPr>
                <w:color w:val="000000"/>
                <w:kern w:val="0"/>
                <w:sz w:val="22"/>
                <w:szCs w:val="22"/>
              </w:rPr>
              <w:t>计划周期</w:t>
            </w:r>
            <w:r>
              <w:rPr>
                <w:color w:val="auto"/>
                <w:kern w:val="0"/>
                <w:sz w:val="22"/>
                <w:szCs w:val="22"/>
              </w:rPr>
              <w:t>自合同签订日</w:t>
            </w:r>
            <w:r>
              <w:rPr>
                <w:rStyle w:val="7"/>
                <w:rFonts w:hint="default" w:ascii="Times New Roman" w:hAnsi="Times New Roman" w:cs="Times New Roman"/>
                <w:color w:val="auto"/>
                <w:sz w:val="22"/>
                <w:szCs w:val="22"/>
              </w:rPr>
              <w:t>次</w:t>
            </w:r>
            <w:r>
              <w:rPr>
                <w:rStyle w:val="7"/>
                <w:rFonts w:hint="default" w:ascii="Times New Roman" w:hAnsi="Times New Roman" w:cs="Times New Roman"/>
                <w:sz w:val="22"/>
                <w:szCs w:val="22"/>
              </w:rPr>
              <w:t>日起计算。</w:t>
            </w:r>
          </w:p>
        </w:tc>
      </w:tr>
      <w:tr>
        <w:tblPrEx>
          <w:tblCellMar>
            <w:top w:w="0" w:type="dxa"/>
            <w:left w:w="0" w:type="dxa"/>
            <w:bottom w:w="0" w:type="dxa"/>
            <w:right w:w="0" w:type="dxa"/>
          </w:tblCellMar>
        </w:tblPrEx>
        <w:trPr>
          <w:trHeight w:val="525" w:hRule="atLeast"/>
        </w:trPr>
        <w:tc>
          <w:tcPr>
            <w:tcW w:w="630"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color w:val="000000"/>
                <w:sz w:val="24"/>
              </w:rPr>
            </w:pPr>
          </w:p>
        </w:tc>
        <w:tc>
          <w:tcPr>
            <w:tcW w:w="1224"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left"/>
              <w:rPr>
                <w:color w:val="000000"/>
                <w:sz w:val="22"/>
                <w:szCs w:val="22"/>
              </w:rPr>
            </w:pPr>
          </w:p>
        </w:tc>
        <w:tc>
          <w:tcPr>
            <w:tcW w:w="229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color w:val="000000"/>
                <w:sz w:val="22"/>
                <w:szCs w:val="22"/>
              </w:rPr>
            </w:pPr>
            <w:r>
              <w:rPr>
                <w:color w:val="000000"/>
                <w:kern w:val="0"/>
                <w:sz w:val="22"/>
                <w:szCs w:val="22"/>
              </w:rPr>
              <w:t>保密要求</w:t>
            </w:r>
          </w:p>
        </w:tc>
        <w:tc>
          <w:tcPr>
            <w:tcW w:w="4190"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textAlignment w:val="center"/>
              <w:rPr>
                <w:color w:val="000000"/>
                <w:sz w:val="22"/>
                <w:szCs w:val="22"/>
              </w:rPr>
            </w:pPr>
            <w:r>
              <w:rPr>
                <w:color w:val="000000"/>
                <w:kern w:val="0"/>
                <w:sz w:val="22"/>
                <w:szCs w:val="22"/>
              </w:rPr>
              <w:t>满足第二部分 询价要求中第1.3款。</w:t>
            </w:r>
          </w:p>
        </w:tc>
      </w:tr>
      <w:tr>
        <w:tblPrEx>
          <w:tblCellMar>
            <w:top w:w="0" w:type="dxa"/>
            <w:left w:w="0" w:type="dxa"/>
            <w:bottom w:w="0" w:type="dxa"/>
            <w:right w:w="0" w:type="dxa"/>
          </w:tblCellMar>
        </w:tblPrEx>
        <w:trPr>
          <w:trHeight w:val="540" w:hRule="atLeast"/>
        </w:trPr>
        <w:tc>
          <w:tcPr>
            <w:tcW w:w="630"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color w:val="000000"/>
                <w:sz w:val="24"/>
              </w:rPr>
            </w:pPr>
          </w:p>
        </w:tc>
        <w:tc>
          <w:tcPr>
            <w:tcW w:w="1224"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left"/>
              <w:rPr>
                <w:color w:val="000000"/>
                <w:sz w:val="22"/>
                <w:szCs w:val="22"/>
              </w:rPr>
            </w:pPr>
          </w:p>
        </w:tc>
        <w:tc>
          <w:tcPr>
            <w:tcW w:w="229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color w:val="000000"/>
                <w:sz w:val="22"/>
                <w:szCs w:val="22"/>
              </w:rPr>
            </w:pPr>
            <w:r>
              <w:rPr>
                <w:color w:val="000000"/>
                <w:kern w:val="0"/>
                <w:sz w:val="22"/>
                <w:szCs w:val="22"/>
              </w:rPr>
              <w:t>响应文件有效期</w:t>
            </w:r>
          </w:p>
        </w:tc>
        <w:tc>
          <w:tcPr>
            <w:tcW w:w="4190"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color w:val="000000"/>
                <w:sz w:val="22"/>
                <w:szCs w:val="22"/>
              </w:rPr>
            </w:pPr>
            <w:r>
              <w:rPr>
                <w:color w:val="000000"/>
                <w:kern w:val="0"/>
                <w:sz w:val="22"/>
                <w:szCs w:val="22"/>
              </w:rPr>
              <w:t>60天</w:t>
            </w:r>
          </w:p>
        </w:tc>
      </w:tr>
      <w:tr>
        <w:tblPrEx>
          <w:tblCellMar>
            <w:top w:w="0" w:type="dxa"/>
            <w:left w:w="0" w:type="dxa"/>
            <w:bottom w:w="0" w:type="dxa"/>
            <w:right w:w="0" w:type="dxa"/>
          </w:tblCellMar>
        </w:tblPrEx>
        <w:trPr>
          <w:trHeight w:val="515" w:hRule="atLeast"/>
        </w:trPr>
        <w:tc>
          <w:tcPr>
            <w:tcW w:w="630" w:type="dxa"/>
            <w:vMerge w:val="restar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color w:val="000000"/>
                <w:sz w:val="24"/>
              </w:rPr>
            </w:pPr>
            <w:r>
              <w:rPr>
                <w:color w:val="000000"/>
                <w:kern w:val="0"/>
                <w:sz w:val="24"/>
              </w:rPr>
              <w:t>2.1.2</w:t>
            </w:r>
          </w:p>
        </w:tc>
        <w:tc>
          <w:tcPr>
            <w:tcW w:w="1224" w:type="dxa"/>
            <w:vMerge w:val="restar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color w:val="000000"/>
                <w:sz w:val="22"/>
                <w:szCs w:val="22"/>
              </w:rPr>
            </w:pPr>
            <w:r>
              <w:rPr>
                <w:color w:val="000000"/>
                <w:kern w:val="0"/>
                <w:sz w:val="22"/>
                <w:szCs w:val="22"/>
              </w:rPr>
              <w:t>资格评审标准</w:t>
            </w:r>
          </w:p>
        </w:tc>
        <w:tc>
          <w:tcPr>
            <w:tcW w:w="229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color w:val="000000"/>
                <w:sz w:val="22"/>
                <w:szCs w:val="22"/>
              </w:rPr>
            </w:pPr>
            <w:r>
              <w:rPr>
                <w:color w:val="000000"/>
                <w:kern w:val="0"/>
                <w:sz w:val="22"/>
                <w:szCs w:val="22"/>
              </w:rPr>
              <w:t>资质等级</w:t>
            </w:r>
          </w:p>
        </w:tc>
        <w:tc>
          <w:tcPr>
            <w:tcW w:w="4190"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textAlignment w:val="center"/>
              <w:rPr>
                <w:color w:val="000000"/>
                <w:sz w:val="22"/>
                <w:szCs w:val="22"/>
              </w:rPr>
            </w:pPr>
            <w:r>
              <w:rPr>
                <w:color w:val="000000"/>
                <w:kern w:val="0"/>
                <w:sz w:val="22"/>
                <w:szCs w:val="22"/>
              </w:rPr>
              <w:t>满足第二部分 询价要求中第1.2款。</w:t>
            </w:r>
          </w:p>
        </w:tc>
      </w:tr>
      <w:tr>
        <w:tblPrEx>
          <w:tblCellMar>
            <w:top w:w="0" w:type="dxa"/>
            <w:left w:w="0" w:type="dxa"/>
            <w:bottom w:w="0" w:type="dxa"/>
            <w:right w:w="0" w:type="dxa"/>
          </w:tblCellMar>
        </w:tblPrEx>
        <w:trPr>
          <w:trHeight w:val="540" w:hRule="atLeast"/>
        </w:trPr>
        <w:tc>
          <w:tcPr>
            <w:tcW w:w="630"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color w:val="000000"/>
                <w:sz w:val="24"/>
              </w:rPr>
            </w:pPr>
          </w:p>
        </w:tc>
        <w:tc>
          <w:tcPr>
            <w:tcW w:w="1224"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color w:val="000000"/>
                <w:sz w:val="22"/>
                <w:szCs w:val="22"/>
              </w:rPr>
            </w:pPr>
          </w:p>
        </w:tc>
        <w:tc>
          <w:tcPr>
            <w:tcW w:w="229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color w:val="000000"/>
                <w:sz w:val="22"/>
                <w:szCs w:val="22"/>
              </w:rPr>
            </w:pPr>
            <w:r>
              <w:rPr>
                <w:color w:val="000000"/>
                <w:kern w:val="0"/>
                <w:sz w:val="22"/>
                <w:szCs w:val="22"/>
              </w:rPr>
              <w:t>项目负责人要求</w:t>
            </w:r>
          </w:p>
        </w:tc>
        <w:tc>
          <w:tcPr>
            <w:tcW w:w="4190"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textAlignment w:val="center"/>
              <w:rPr>
                <w:color w:val="000000"/>
                <w:sz w:val="22"/>
                <w:szCs w:val="22"/>
              </w:rPr>
            </w:pPr>
            <w:r>
              <w:rPr>
                <w:color w:val="000000"/>
                <w:kern w:val="0"/>
                <w:sz w:val="22"/>
                <w:szCs w:val="22"/>
              </w:rPr>
              <w:t>满足第二部分 询价要求中第1.2款。</w:t>
            </w:r>
          </w:p>
        </w:tc>
      </w:tr>
      <w:tr>
        <w:tblPrEx>
          <w:tblCellMar>
            <w:top w:w="0" w:type="dxa"/>
            <w:left w:w="0" w:type="dxa"/>
            <w:bottom w:w="0" w:type="dxa"/>
            <w:right w:w="0" w:type="dxa"/>
          </w:tblCellMar>
        </w:tblPrEx>
        <w:trPr>
          <w:trHeight w:val="525" w:hRule="atLeast"/>
        </w:trPr>
        <w:tc>
          <w:tcPr>
            <w:tcW w:w="630"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color w:val="000000"/>
                <w:sz w:val="24"/>
              </w:rPr>
            </w:pPr>
          </w:p>
        </w:tc>
        <w:tc>
          <w:tcPr>
            <w:tcW w:w="1224"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color w:val="000000"/>
                <w:sz w:val="22"/>
                <w:szCs w:val="22"/>
              </w:rPr>
            </w:pPr>
          </w:p>
        </w:tc>
        <w:tc>
          <w:tcPr>
            <w:tcW w:w="229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color w:val="000000"/>
                <w:sz w:val="22"/>
                <w:szCs w:val="22"/>
              </w:rPr>
            </w:pPr>
            <w:r>
              <w:rPr>
                <w:color w:val="000000"/>
                <w:kern w:val="0"/>
                <w:sz w:val="22"/>
                <w:szCs w:val="22"/>
              </w:rPr>
              <w:t>信誉要求</w:t>
            </w:r>
          </w:p>
        </w:tc>
        <w:tc>
          <w:tcPr>
            <w:tcW w:w="4190"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textAlignment w:val="center"/>
              <w:rPr>
                <w:color w:val="000000"/>
                <w:sz w:val="22"/>
                <w:szCs w:val="22"/>
              </w:rPr>
            </w:pPr>
            <w:r>
              <w:rPr>
                <w:color w:val="000000"/>
                <w:kern w:val="0"/>
                <w:sz w:val="22"/>
                <w:szCs w:val="22"/>
              </w:rPr>
              <w:t>满足第二部分 询价要求中第1.2款。</w:t>
            </w:r>
          </w:p>
        </w:tc>
      </w:tr>
      <w:tr>
        <w:tblPrEx>
          <w:tblCellMar>
            <w:top w:w="0" w:type="dxa"/>
            <w:left w:w="0" w:type="dxa"/>
            <w:bottom w:w="0" w:type="dxa"/>
            <w:right w:w="0" w:type="dxa"/>
          </w:tblCellMar>
        </w:tblPrEx>
        <w:trPr>
          <w:trHeight w:val="525" w:hRule="atLeast"/>
        </w:trPr>
        <w:tc>
          <w:tcPr>
            <w:tcW w:w="630"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color w:val="000000"/>
                <w:sz w:val="24"/>
              </w:rPr>
            </w:pPr>
          </w:p>
        </w:tc>
        <w:tc>
          <w:tcPr>
            <w:tcW w:w="1224"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color w:val="000000"/>
                <w:sz w:val="22"/>
                <w:szCs w:val="22"/>
              </w:rPr>
            </w:pPr>
          </w:p>
        </w:tc>
        <w:tc>
          <w:tcPr>
            <w:tcW w:w="229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color w:val="000000"/>
                <w:sz w:val="22"/>
                <w:szCs w:val="22"/>
              </w:rPr>
            </w:pPr>
            <w:r>
              <w:rPr>
                <w:color w:val="000000"/>
                <w:kern w:val="0"/>
                <w:sz w:val="22"/>
                <w:szCs w:val="22"/>
              </w:rPr>
              <w:t>业绩要求</w:t>
            </w:r>
          </w:p>
        </w:tc>
        <w:tc>
          <w:tcPr>
            <w:tcW w:w="4190"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textAlignment w:val="center"/>
              <w:rPr>
                <w:color w:val="000000"/>
                <w:sz w:val="22"/>
                <w:szCs w:val="22"/>
              </w:rPr>
            </w:pPr>
            <w:r>
              <w:rPr>
                <w:color w:val="000000"/>
                <w:kern w:val="0"/>
                <w:sz w:val="22"/>
                <w:szCs w:val="22"/>
              </w:rPr>
              <w:t>满足第二部分 询价要求中第1.2款。</w:t>
            </w:r>
          </w:p>
        </w:tc>
      </w:tr>
      <w:tr>
        <w:tblPrEx>
          <w:tblCellMar>
            <w:top w:w="0" w:type="dxa"/>
            <w:left w:w="0" w:type="dxa"/>
            <w:bottom w:w="0" w:type="dxa"/>
            <w:right w:w="0" w:type="dxa"/>
          </w:tblCellMar>
        </w:tblPrEx>
        <w:trPr>
          <w:trHeight w:val="1545" w:hRule="atLeast"/>
        </w:trPr>
        <w:tc>
          <w:tcPr>
            <w:tcW w:w="630"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color w:val="000000"/>
                <w:sz w:val="24"/>
              </w:rPr>
            </w:pPr>
          </w:p>
        </w:tc>
        <w:tc>
          <w:tcPr>
            <w:tcW w:w="1224"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color w:val="000000"/>
                <w:sz w:val="22"/>
                <w:szCs w:val="22"/>
              </w:rPr>
            </w:pPr>
          </w:p>
        </w:tc>
        <w:tc>
          <w:tcPr>
            <w:tcW w:w="229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color w:val="000000"/>
                <w:sz w:val="22"/>
                <w:szCs w:val="22"/>
              </w:rPr>
            </w:pPr>
            <w:r>
              <w:rPr>
                <w:color w:val="000000"/>
                <w:kern w:val="0"/>
                <w:sz w:val="22"/>
                <w:szCs w:val="22"/>
              </w:rPr>
              <w:t>其他要求</w:t>
            </w:r>
          </w:p>
        </w:tc>
        <w:tc>
          <w:tcPr>
            <w:tcW w:w="4190"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textAlignment w:val="center"/>
              <w:rPr>
                <w:color w:val="000000"/>
                <w:sz w:val="22"/>
                <w:szCs w:val="22"/>
              </w:rPr>
            </w:pPr>
            <w:r>
              <w:rPr>
                <w:color w:val="000000"/>
                <w:kern w:val="0"/>
                <w:sz w:val="22"/>
                <w:szCs w:val="22"/>
              </w:rPr>
              <w:t xml:space="preserve">满足第二部分 询价要求中第1.2款。 </w:t>
            </w:r>
          </w:p>
        </w:tc>
      </w:tr>
      <w:tr>
        <w:tblPrEx>
          <w:tblCellMar>
            <w:top w:w="0" w:type="dxa"/>
            <w:left w:w="0" w:type="dxa"/>
            <w:bottom w:w="0" w:type="dxa"/>
            <w:right w:w="0" w:type="dxa"/>
          </w:tblCellMar>
        </w:tblPrEx>
        <w:trPr>
          <w:trHeight w:val="315" w:hRule="atLeast"/>
        </w:trPr>
        <w:tc>
          <w:tcPr>
            <w:tcW w:w="8336" w:type="dxa"/>
            <w:gridSpan w:val="5"/>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color w:val="000000"/>
                <w:sz w:val="22"/>
                <w:szCs w:val="22"/>
              </w:rPr>
            </w:pPr>
            <w:r>
              <w:rPr>
                <w:color w:val="000000"/>
                <w:sz w:val="22"/>
                <w:szCs w:val="22"/>
              </w:rPr>
              <w:t>若响应人不满足以上条款，则取消其报价资格</w:t>
            </w:r>
          </w:p>
        </w:tc>
      </w:tr>
      <w:tr>
        <w:tblPrEx>
          <w:tblCellMar>
            <w:top w:w="0" w:type="dxa"/>
            <w:left w:w="0" w:type="dxa"/>
            <w:bottom w:w="0" w:type="dxa"/>
            <w:right w:w="0" w:type="dxa"/>
          </w:tblCellMar>
        </w:tblPrEx>
        <w:trPr>
          <w:trHeight w:val="920" w:hRule="atLeast"/>
        </w:trPr>
        <w:tc>
          <w:tcPr>
            <w:tcW w:w="1854"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b/>
                <w:color w:val="000000"/>
                <w:sz w:val="22"/>
                <w:szCs w:val="22"/>
              </w:rPr>
            </w:pPr>
            <w:r>
              <w:rPr>
                <w:b/>
                <w:color w:val="000000"/>
                <w:kern w:val="0"/>
                <w:sz w:val="22"/>
                <w:szCs w:val="22"/>
              </w:rPr>
              <w:t>条款号</w:t>
            </w:r>
          </w:p>
        </w:tc>
        <w:tc>
          <w:tcPr>
            <w:tcW w:w="229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b/>
                <w:color w:val="000000"/>
                <w:sz w:val="22"/>
                <w:szCs w:val="22"/>
              </w:rPr>
            </w:pPr>
            <w:r>
              <w:rPr>
                <w:b/>
                <w:color w:val="000000"/>
                <w:kern w:val="0"/>
                <w:sz w:val="22"/>
                <w:szCs w:val="22"/>
              </w:rPr>
              <w:t>条款内容</w:t>
            </w:r>
          </w:p>
        </w:tc>
        <w:tc>
          <w:tcPr>
            <w:tcW w:w="4190"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b/>
                <w:color w:val="000000"/>
                <w:sz w:val="22"/>
                <w:szCs w:val="22"/>
              </w:rPr>
            </w:pPr>
            <w:r>
              <w:rPr>
                <w:b/>
                <w:color w:val="000000"/>
                <w:kern w:val="0"/>
                <w:sz w:val="22"/>
                <w:szCs w:val="22"/>
              </w:rPr>
              <w:t>编列内容</w:t>
            </w:r>
          </w:p>
        </w:tc>
      </w:tr>
      <w:tr>
        <w:tblPrEx>
          <w:tblCellMar>
            <w:top w:w="0" w:type="dxa"/>
            <w:left w:w="0" w:type="dxa"/>
            <w:bottom w:w="0" w:type="dxa"/>
            <w:right w:w="0" w:type="dxa"/>
          </w:tblCellMar>
        </w:tblPrEx>
        <w:trPr>
          <w:trHeight w:val="2120" w:hRule="atLeast"/>
        </w:trPr>
        <w:tc>
          <w:tcPr>
            <w:tcW w:w="1854"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color w:val="000000"/>
                <w:sz w:val="22"/>
                <w:szCs w:val="22"/>
              </w:rPr>
            </w:pPr>
            <w:r>
              <w:rPr>
                <w:color w:val="000000"/>
                <w:kern w:val="0"/>
                <w:sz w:val="22"/>
                <w:szCs w:val="22"/>
              </w:rPr>
              <w:t>2.2.1</w:t>
            </w:r>
          </w:p>
        </w:tc>
        <w:tc>
          <w:tcPr>
            <w:tcW w:w="229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color w:val="000000"/>
                <w:sz w:val="22"/>
                <w:szCs w:val="22"/>
              </w:rPr>
            </w:pPr>
            <w:r>
              <w:rPr>
                <w:color w:val="000000"/>
                <w:kern w:val="0"/>
                <w:sz w:val="22"/>
                <w:szCs w:val="22"/>
              </w:rPr>
              <w:t>分值构成（总分100分）</w:t>
            </w:r>
          </w:p>
        </w:tc>
        <w:tc>
          <w:tcPr>
            <w:tcW w:w="4190"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color w:val="000000"/>
                <w:kern w:val="0"/>
                <w:sz w:val="22"/>
                <w:szCs w:val="22"/>
              </w:rPr>
            </w:pPr>
            <w:r>
              <w:rPr>
                <w:color w:val="000000"/>
                <w:kern w:val="0"/>
                <w:sz w:val="22"/>
                <w:szCs w:val="22"/>
              </w:rPr>
              <w:t>技术尽调服务方案：  30  分</w:t>
            </w:r>
          </w:p>
          <w:p>
            <w:pPr>
              <w:widowControl/>
              <w:jc w:val="left"/>
              <w:textAlignment w:val="center"/>
              <w:rPr>
                <w:color w:val="000000"/>
                <w:sz w:val="22"/>
                <w:szCs w:val="22"/>
              </w:rPr>
            </w:pPr>
            <w:r>
              <w:rPr>
                <w:color w:val="000000"/>
                <w:kern w:val="0"/>
                <w:sz w:val="22"/>
                <w:szCs w:val="22"/>
              </w:rPr>
              <w:t>响应人情况：        10  分</w:t>
            </w:r>
          </w:p>
          <w:p>
            <w:pPr>
              <w:widowControl/>
              <w:jc w:val="left"/>
              <w:textAlignment w:val="center"/>
              <w:rPr>
                <w:color w:val="000000"/>
                <w:sz w:val="22"/>
                <w:szCs w:val="22"/>
              </w:rPr>
            </w:pPr>
            <w:r>
              <w:rPr>
                <w:color w:val="000000"/>
                <w:kern w:val="0"/>
                <w:sz w:val="22"/>
                <w:szCs w:val="22"/>
              </w:rPr>
              <w:t>响应程度：          20  分</w:t>
            </w:r>
          </w:p>
          <w:p>
            <w:pPr>
              <w:widowControl/>
              <w:jc w:val="left"/>
              <w:textAlignment w:val="center"/>
              <w:rPr>
                <w:color w:val="000000"/>
                <w:sz w:val="22"/>
                <w:szCs w:val="22"/>
              </w:rPr>
            </w:pPr>
            <w:r>
              <w:rPr>
                <w:color w:val="000000"/>
                <w:kern w:val="0"/>
                <w:sz w:val="22"/>
                <w:szCs w:val="22"/>
              </w:rPr>
              <w:t>响应报价：          40  分</w:t>
            </w:r>
          </w:p>
        </w:tc>
      </w:tr>
      <w:tr>
        <w:tblPrEx>
          <w:tblCellMar>
            <w:top w:w="0" w:type="dxa"/>
            <w:left w:w="0" w:type="dxa"/>
            <w:bottom w:w="0" w:type="dxa"/>
            <w:right w:w="0" w:type="dxa"/>
          </w:tblCellMar>
        </w:tblPrEx>
        <w:trPr>
          <w:trHeight w:val="1290" w:hRule="atLeast"/>
        </w:trPr>
        <w:tc>
          <w:tcPr>
            <w:tcW w:w="1854"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color w:val="000000"/>
                <w:sz w:val="22"/>
                <w:szCs w:val="22"/>
              </w:rPr>
            </w:pPr>
            <w:r>
              <w:rPr>
                <w:color w:val="000000"/>
                <w:kern w:val="0"/>
                <w:sz w:val="22"/>
                <w:szCs w:val="22"/>
              </w:rPr>
              <w:t>2.2.2</w:t>
            </w:r>
          </w:p>
        </w:tc>
        <w:tc>
          <w:tcPr>
            <w:tcW w:w="229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color w:val="000000"/>
                <w:sz w:val="22"/>
                <w:szCs w:val="22"/>
              </w:rPr>
            </w:pPr>
            <w:r>
              <w:rPr>
                <w:color w:val="000000"/>
                <w:kern w:val="0"/>
                <w:sz w:val="22"/>
                <w:szCs w:val="22"/>
              </w:rPr>
              <w:t>评审基准价计算方法</w:t>
            </w:r>
          </w:p>
        </w:tc>
        <w:tc>
          <w:tcPr>
            <w:tcW w:w="4190"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color w:val="000000"/>
                <w:sz w:val="22"/>
                <w:szCs w:val="22"/>
              </w:rPr>
            </w:pPr>
            <w:r>
              <w:rPr>
                <w:color w:val="000000"/>
                <w:kern w:val="0"/>
                <w:sz w:val="22"/>
                <w:szCs w:val="22"/>
              </w:rPr>
              <w:t>对有效响应文件通过初步评审且未超过最高限价的所有报价进行算术平均，该平均值即为评审基准价。</w:t>
            </w:r>
          </w:p>
        </w:tc>
      </w:tr>
      <w:tr>
        <w:tblPrEx>
          <w:tblCellMar>
            <w:top w:w="0" w:type="dxa"/>
            <w:left w:w="0" w:type="dxa"/>
            <w:bottom w:w="0" w:type="dxa"/>
            <w:right w:w="0" w:type="dxa"/>
          </w:tblCellMar>
        </w:tblPrEx>
        <w:trPr>
          <w:trHeight w:val="315" w:hRule="atLeast"/>
        </w:trPr>
        <w:tc>
          <w:tcPr>
            <w:tcW w:w="8336" w:type="dxa"/>
            <w:gridSpan w:val="5"/>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color w:val="000000"/>
                <w:sz w:val="22"/>
                <w:szCs w:val="22"/>
              </w:rPr>
            </w:pPr>
          </w:p>
        </w:tc>
      </w:tr>
      <w:tr>
        <w:tblPrEx>
          <w:tblCellMar>
            <w:top w:w="0" w:type="dxa"/>
            <w:left w:w="0" w:type="dxa"/>
            <w:bottom w:w="0" w:type="dxa"/>
            <w:right w:w="0" w:type="dxa"/>
          </w:tblCellMar>
        </w:tblPrEx>
        <w:trPr>
          <w:trHeight w:val="720" w:hRule="atLeast"/>
        </w:trPr>
        <w:tc>
          <w:tcPr>
            <w:tcW w:w="1854"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b/>
                <w:color w:val="000000"/>
                <w:sz w:val="22"/>
                <w:szCs w:val="22"/>
              </w:rPr>
            </w:pPr>
            <w:r>
              <w:rPr>
                <w:b/>
                <w:color w:val="000000"/>
                <w:kern w:val="0"/>
                <w:sz w:val="22"/>
                <w:szCs w:val="22"/>
              </w:rPr>
              <w:t>条款号</w:t>
            </w:r>
          </w:p>
        </w:tc>
        <w:tc>
          <w:tcPr>
            <w:tcW w:w="229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b/>
                <w:color w:val="000000"/>
                <w:sz w:val="22"/>
                <w:szCs w:val="22"/>
              </w:rPr>
            </w:pPr>
            <w:r>
              <w:rPr>
                <w:b/>
                <w:color w:val="000000"/>
                <w:kern w:val="0"/>
                <w:sz w:val="22"/>
                <w:szCs w:val="22"/>
              </w:rPr>
              <w:t>评分因素</w:t>
            </w:r>
          </w:p>
        </w:tc>
        <w:tc>
          <w:tcPr>
            <w:tcW w:w="111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b/>
                <w:color w:val="000000"/>
                <w:sz w:val="22"/>
                <w:szCs w:val="22"/>
              </w:rPr>
            </w:pPr>
            <w:r>
              <w:rPr>
                <w:b/>
                <w:color w:val="000000"/>
                <w:kern w:val="0"/>
                <w:sz w:val="22"/>
                <w:szCs w:val="22"/>
              </w:rPr>
              <w:t>分值</w:t>
            </w:r>
          </w:p>
        </w:tc>
        <w:tc>
          <w:tcPr>
            <w:tcW w:w="308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b/>
                <w:color w:val="000000"/>
                <w:sz w:val="22"/>
                <w:szCs w:val="22"/>
              </w:rPr>
            </w:pPr>
            <w:r>
              <w:rPr>
                <w:b/>
                <w:color w:val="000000"/>
                <w:kern w:val="0"/>
                <w:sz w:val="22"/>
                <w:szCs w:val="22"/>
              </w:rPr>
              <w:t>评分标准</w:t>
            </w:r>
          </w:p>
        </w:tc>
      </w:tr>
      <w:tr>
        <w:tblPrEx>
          <w:tblCellMar>
            <w:top w:w="0" w:type="dxa"/>
            <w:left w:w="0" w:type="dxa"/>
            <w:bottom w:w="0" w:type="dxa"/>
            <w:right w:w="0" w:type="dxa"/>
          </w:tblCellMar>
        </w:tblPrEx>
        <w:trPr>
          <w:trHeight w:val="730" w:hRule="atLeast"/>
        </w:trPr>
        <w:tc>
          <w:tcPr>
            <w:tcW w:w="630" w:type="dxa"/>
            <w:vMerge w:val="restar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color w:val="000000"/>
                <w:sz w:val="24"/>
              </w:rPr>
            </w:pPr>
            <w:r>
              <w:rPr>
                <w:color w:val="000000"/>
                <w:kern w:val="0"/>
                <w:sz w:val="24"/>
              </w:rPr>
              <w:t>2.3.1</w:t>
            </w:r>
          </w:p>
        </w:tc>
        <w:tc>
          <w:tcPr>
            <w:tcW w:w="1224" w:type="dxa"/>
            <w:vMerge w:val="restar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color w:val="000000"/>
                <w:sz w:val="22"/>
                <w:szCs w:val="22"/>
              </w:rPr>
            </w:pPr>
            <w:r>
              <w:rPr>
                <w:color w:val="000000"/>
                <w:kern w:val="0"/>
                <w:sz w:val="22"/>
                <w:szCs w:val="22"/>
              </w:rPr>
              <w:t>技术尽调服务方案评分标准</w:t>
            </w:r>
          </w:p>
        </w:tc>
        <w:tc>
          <w:tcPr>
            <w:tcW w:w="229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color w:val="000000"/>
                <w:sz w:val="22"/>
                <w:szCs w:val="22"/>
              </w:rPr>
            </w:pPr>
            <w:r>
              <w:rPr>
                <w:color w:val="000000"/>
                <w:kern w:val="0"/>
                <w:sz w:val="22"/>
                <w:szCs w:val="22"/>
              </w:rPr>
              <w:t>总体服务方案</w:t>
            </w:r>
          </w:p>
        </w:tc>
        <w:tc>
          <w:tcPr>
            <w:tcW w:w="111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color w:val="000000"/>
                <w:sz w:val="22"/>
                <w:szCs w:val="22"/>
              </w:rPr>
            </w:pPr>
            <w:r>
              <w:rPr>
                <w:color w:val="000000"/>
                <w:kern w:val="0"/>
                <w:sz w:val="22"/>
                <w:szCs w:val="22"/>
              </w:rPr>
              <w:t>20分</w:t>
            </w:r>
          </w:p>
        </w:tc>
        <w:tc>
          <w:tcPr>
            <w:tcW w:w="308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color w:val="000000"/>
                <w:sz w:val="22"/>
                <w:szCs w:val="22"/>
              </w:rPr>
            </w:pPr>
            <w:r>
              <w:rPr>
                <w:color w:val="000000"/>
                <w:kern w:val="0"/>
                <w:sz w:val="22"/>
                <w:szCs w:val="22"/>
              </w:rPr>
              <w:t>总体方案设计完善合理得20分，较合理得17分，一般得12分。</w:t>
            </w:r>
          </w:p>
        </w:tc>
      </w:tr>
      <w:tr>
        <w:tblPrEx>
          <w:tblCellMar>
            <w:top w:w="0" w:type="dxa"/>
            <w:left w:w="0" w:type="dxa"/>
            <w:bottom w:w="0" w:type="dxa"/>
            <w:right w:w="0" w:type="dxa"/>
          </w:tblCellMar>
        </w:tblPrEx>
        <w:trPr>
          <w:trHeight w:val="750" w:hRule="atLeast"/>
        </w:trPr>
        <w:tc>
          <w:tcPr>
            <w:tcW w:w="630"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color w:val="000000"/>
                <w:sz w:val="24"/>
              </w:rPr>
            </w:pPr>
          </w:p>
        </w:tc>
        <w:tc>
          <w:tcPr>
            <w:tcW w:w="1224"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color w:val="000000"/>
                <w:sz w:val="22"/>
                <w:szCs w:val="22"/>
              </w:rPr>
            </w:pPr>
          </w:p>
        </w:tc>
        <w:tc>
          <w:tcPr>
            <w:tcW w:w="229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color w:val="000000"/>
                <w:sz w:val="22"/>
                <w:szCs w:val="22"/>
              </w:rPr>
            </w:pPr>
            <w:r>
              <w:rPr>
                <w:color w:val="000000"/>
                <w:kern w:val="0"/>
                <w:sz w:val="22"/>
                <w:szCs w:val="22"/>
              </w:rPr>
              <w:t>进度及人员安排</w:t>
            </w:r>
          </w:p>
        </w:tc>
        <w:tc>
          <w:tcPr>
            <w:tcW w:w="111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color w:val="000000"/>
                <w:sz w:val="22"/>
                <w:szCs w:val="22"/>
              </w:rPr>
            </w:pPr>
            <w:r>
              <w:rPr>
                <w:color w:val="000000"/>
                <w:kern w:val="0"/>
                <w:sz w:val="22"/>
                <w:szCs w:val="22"/>
              </w:rPr>
              <w:t>5分</w:t>
            </w:r>
          </w:p>
        </w:tc>
        <w:tc>
          <w:tcPr>
            <w:tcW w:w="308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color w:val="000000"/>
                <w:sz w:val="22"/>
                <w:szCs w:val="22"/>
              </w:rPr>
            </w:pPr>
            <w:r>
              <w:rPr>
                <w:color w:val="000000"/>
                <w:kern w:val="0"/>
                <w:sz w:val="22"/>
                <w:szCs w:val="22"/>
              </w:rPr>
              <w:t>进度及人员安排合理得5分，较合理得4分，一般得3分。</w:t>
            </w:r>
          </w:p>
        </w:tc>
      </w:tr>
      <w:tr>
        <w:tblPrEx>
          <w:tblCellMar>
            <w:top w:w="0" w:type="dxa"/>
            <w:left w:w="0" w:type="dxa"/>
            <w:bottom w:w="0" w:type="dxa"/>
            <w:right w:w="0" w:type="dxa"/>
          </w:tblCellMar>
        </w:tblPrEx>
        <w:trPr>
          <w:trHeight w:val="750" w:hRule="atLeast"/>
        </w:trPr>
        <w:tc>
          <w:tcPr>
            <w:tcW w:w="630"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color w:val="000000"/>
                <w:sz w:val="24"/>
              </w:rPr>
            </w:pPr>
          </w:p>
        </w:tc>
        <w:tc>
          <w:tcPr>
            <w:tcW w:w="1224"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color w:val="000000"/>
                <w:sz w:val="22"/>
                <w:szCs w:val="22"/>
              </w:rPr>
            </w:pPr>
          </w:p>
        </w:tc>
        <w:tc>
          <w:tcPr>
            <w:tcW w:w="229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color w:val="000000"/>
                <w:sz w:val="22"/>
                <w:szCs w:val="22"/>
              </w:rPr>
            </w:pPr>
            <w:r>
              <w:rPr>
                <w:color w:val="000000"/>
                <w:kern w:val="0"/>
                <w:sz w:val="22"/>
                <w:szCs w:val="22"/>
              </w:rPr>
              <w:t>服务保障措施</w:t>
            </w:r>
          </w:p>
        </w:tc>
        <w:tc>
          <w:tcPr>
            <w:tcW w:w="111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color w:val="000000"/>
                <w:sz w:val="22"/>
                <w:szCs w:val="22"/>
              </w:rPr>
            </w:pPr>
            <w:r>
              <w:rPr>
                <w:color w:val="000000"/>
                <w:kern w:val="0"/>
                <w:sz w:val="22"/>
                <w:szCs w:val="22"/>
              </w:rPr>
              <w:t>5分</w:t>
            </w:r>
          </w:p>
        </w:tc>
        <w:tc>
          <w:tcPr>
            <w:tcW w:w="308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color w:val="000000"/>
                <w:sz w:val="22"/>
                <w:szCs w:val="22"/>
              </w:rPr>
            </w:pPr>
            <w:r>
              <w:rPr>
                <w:color w:val="000000"/>
                <w:kern w:val="0"/>
                <w:sz w:val="22"/>
                <w:szCs w:val="22"/>
              </w:rPr>
              <w:t>服务保障措施合理得5分，较合理得4分，一般得3分。</w:t>
            </w:r>
          </w:p>
        </w:tc>
      </w:tr>
      <w:tr>
        <w:tblPrEx>
          <w:tblCellMar>
            <w:top w:w="0" w:type="dxa"/>
            <w:left w:w="0" w:type="dxa"/>
            <w:bottom w:w="0" w:type="dxa"/>
            <w:right w:w="0" w:type="dxa"/>
          </w:tblCellMar>
        </w:tblPrEx>
        <w:trPr>
          <w:trHeight w:val="1500" w:hRule="atLeast"/>
        </w:trPr>
        <w:tc>
          <w:tcPr>
            <w:tcW w:w="630" w:type="dxa"/>
            <w:vMerge w:val="restar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color w:val="000000"/>
                <w:sz w:val="24"/>
              </w:rPr>
            </w:pPr>
            <w:r>
              <w:rPr>
                <w:color w:val="000000"/>
                <w:kern w:val="0"/>
                <w:sz w:val="24"/>
              </w:rPr>
              <w:t>2.3.2</w:t>
            </w:r>
          </w:p>
        </w:tc>
        <w:tc>
          <w:tcPr>
            <w:tcW w:w="1224" w:type="dxa"/>
            <w:vMerge w:val="restar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color w:val="000000"/>
                <w:sz w:val="22"/>
                <w:szCs w:val="22"/>
              </w:rPr>
            </w:pPr>
            <w:r>
              <w:rPr>
                <w:color w:val="000000"/>
                <w:kern w:val="0"/>
                <w:sz w:val="22"/>
                <w:szCs w:val="22"/>
              </w:rPr>
              <w:t>响应人情况评分标准</w:t>
            </w:r>
          </w:p>
        </w:tc>
        <w:tc>
          <w:tcPr>
            <w:tcW w:w="229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color w:val="000000"/>
                <w:sz w:val="22"/>
                <w:szCs w:val="22"/>
              </w:rPr>
            </w:pPr>
            <w:r>
              <w:rPr>
                <w:color w:val="000000"/>
                <w:kern w:val="0"/>
                <w:sz w:val="22"/>
                <w:szCs w:val="22"/>
              </w:rPr>
              <w:t>业绩合同</w:t>
            </w:r>
          </w:p>
        </w:tc>
        <w:tc>
          <w:tcPr>
            <w:tcW w:w="111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color w:val="000000"/>
                <w:sz w:val="22"/>
                <w:szCs w:val="22"/>
              </w:rPr>
            </w:pPr>
            <w:r>
              <w:rPr>
                <w:color w:val="000000"/>
                <w:kern w:val="0"/>
                <w:sz w:val="22"/>
                <w:szCs w:val="22"/>
              </w:rPr>
              <w:t>5分</w:t>
            </w:r>
          </w:p>
        </w:tc>
        <w:tc>
          <w:tcPr>
            <w:tcW w:w="308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color w:val="000000"/>
                <w:sz w:val="22"/>
                <w:szCs w:val="22"/>
              </w:rPr>
            </w:pPr>
            <w:r>
              <w:rPr>
                <w:color w:val="000000"/>
                <w:kern w:val="0"/>
                <w:sz w:val="22"/>
                <w:szCs w:val="22"/>
              </w:rPr>
              <w:t>2020年7月1日至2022年7月1日两年期间完成100MW以上</w:t>
            </w:r>
            <w:r>
              <mc:AlternateContent>
                <mc:Choice Requires="wps">
                  <w:drawing>
                    <wp:anchor distT="0" distB="0" distL="0" distR="0" simplePos="0" relativeHeight="251659264" behindDoc="0" locked="0" layoutInCell="1" allowOverlap="1">
                      <wp:simplePos x="0" y="0"/>
                      <wp:positionH relativeFrom="character">
                        <wp:posOffset>116840</wp:posOffset>
                      </wp:positionH>
                      <wp:positionV relativeFrom="line">
                        <wp:posOffset>92710</wp:posOffset>
                      </wp:positionV>
                      <wp:extent cx="22860" cy="2540"/>
                      <wp:effectExtent l="0" t="0" r="0" b="0"/>
                      <wp:wrapNone/>
                      <wp:docPr id="1028" name="Image1"/>
                      <wp:cNvGraphicFramePr/>
                      <a:graphic xmlns:a="http://schemas.openxmlformats.org/drawingml/2006/main">
                        <a:graphicData uri="http://schemas.microsoft.com/office/word/2010/wordprocessingInk">
                          <mc:AlternateContent xmlns:a14="http://schemas.microsoft.com/office/drawing/2010/main">
                            <mc:Choice Requires="a14">
                              <w14:contentPart bwMode="auto" r:id="rId4">
                                <w14:nvContentPartPr>
                                  <w14:cNvPr id="1028" name="Image1"/>
                                  <w14:cNvContentPartPr/>
                                </w14:nvContentPartPr>
                                <w14:xfrm>
                                  <a:off x="0" y="0"/>
                                  <a:ext cx="23008" cy="2790"/>
                                </w14:xfrm>
                              </w14:contentPart>
                            </mc:Choice>
                          </mc:AlternateContent>
                        </a:graphicData>
                      </a:graphic>
                    </wp:anchor>
                  </w:drawing>
                </mc:Choice>
                <mc:Fallback>
                  <w:pict>
                    <v:shape id="Image1" o:spid="_x0000_s1026" o:spt="75" style="position:absolute;left:0pt;margin-left:9.2pt;margin-top:7.3pt;height:0.2pt;width:1.8pt;mso-position-horizontal-relative:char;mso-position-vertical-relative:line;z-index:251659264;mso-width-relative:page;mso-height-relative:page;" coordsize="21600,21600" o:gfxdata="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">
                      <v:imagedata r:id="rId5" o:title=""/>
                      <o:lock v:ext="edit"/>
                    </v:shape>
                  </w:pict>
                </mc:Fallback>
              </mc:AlternateContent>
            </w:r>
            <w:r>
              <w:rPr>
                <w:color w:val="000000"/>
                <w:kern w:val="0"/>
                <w:sz w:val="22"/>
                <w:szCs w:val="22"/>
              </w:rPr>
              <w:t>电站(同类)项目尽职调查服务3个项目得3分，每多提供一条符合要求的业绩加1分，最多增加2分。</w:t>
            </w:r>
          </w:p>
        </w:tc>
      </w:tr>
      <w:tr>
        <w:tblPrEx>
          <w:tblCellMar>
            <w:top w:w="0" w:type="dxa"/>
            <w:left w:w="0" w:type="dxa"/>
            <w:bottom w:w="0" w:type="dxa"/>
            <w:right w:w="0" w:type="dxa"/>
          </w:tblCellMar>
        </w:tblPrEx>
        <w:trPr>
          <w:trHeight w:val="1125" w:hRule="atLeast"/>
        </w:trPr>
        <w:tc>
          <w:tcPr>
            <w:tcW w:w="630"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color w:val="000000"/>
                <w:sz w:val="24"/>
              </w:rPr>
            </w:pPr>
          </w:p>
        </w:tc>
        <w:tc>
          <w:tcPr>
            <w:tcW w:w="1224"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color w:val="000000"/>
                <w:sz w:val="22"/>
                <w:szCs w:val="22"/>
              </w:rPr>
            </w:pPr>
          </w:p>
        </w:tc>
        <w:tc>
          <w:tcPr>
            <w:tcW w:w="229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color w:val="000000"/>
                <w:sz w:val="22"/>
                <w:szCs w:val="22"/>
              </w:rPr>
            </w:pPr>
            <w:r>
              <w:rPr>
                <w:color w:val="000000"/>
                <w:sz w:val="22"/>
                <w:szCs w:val="22"/>
              </w:rPr>
              <w:t>项目负责人</w:t>
            </w:r>
          </w:p>
        </w:tc>
        <w:tc>
          <w:tcPr>
            <w:tcW w:w="111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color w:val="000000"/>
                <w:sz w:val="22"/>
                <w:szCs w:val="22"/>
              </w:rPr>
            </w:pPr>
            <w:r>
              <w:rPr>
                <w:color w:val="000000"/>
                <w:kern w:val="0"/>
                <w:sz w:val="22"/>
                <w:szCs w:val="22"/>
              </w:rPr>
              <w:t>5分</w:t>
            </w:r>
          </w:p>
        </w:tc>
        <w:tc>
          <w:tcPr>
            <w:tcW w:w="308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color w:val="000000"/>
                <w:sz w:val="22"/>
                <w:szCs w:val="22"/>
              </w:rPr>
            </w:pPr>
            <w:r>
              <w:rPr>
                <w:color w:val="000000"/>
                <w:kern w:val="0"/>
                <w:sz w:val="22"/>
                <w:szCs w:val="22"/>
              </w:rPr>
              <w:t>具备工程序列中级以上职称，至少参与过3个风电项目的技术尽职调查服务得3分，每增加1个项目加1分，最多增加2分。</w:t>
            </w:r>
          </w:p>
        </w:tc>
      </w:tr>
      <w:tr>
        <w:tblPrEx>
          <w:tblCellMar>
            <w:top w:w="0" w:type="dxa"/>
            <w:left w:w="0" w:type="dxa"/>
            <w:bottom w:w="0" w:type="dxa"/>
            <w:right w:w="0" w:type="dxa"/>
          </w:tblCellMar>
        </w:tblPrEx>
        <w:trPr>
          <w:trHeight w:val="90" w:hRule="atLeast"/>
        </w:trPr>
        <w:tc>
          <w:tcPr>
            <w:tcW w:w="630" w:type="dxa"/>
            <w:vMerge w:val="restar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color w:val="000000"/>
                <w:sz w:val="24"/>
              </w:rPr>
            </w:pPr>
            <w:r>
              <w:rPr>
                <w:color w:val="000000"/>
                <w:kern w:val="0"/>
                <w:sz w:val="24"/>
              </w:rPr>
              <w:t>2.3.3</w:t>
            </w:r>
          </w:p>
        </w:tc>
        <w:tc>
          <w:tcPr>
            <w:tcW w:w="1224" w:type="dxa"/>
            <w:vMerge w:val="restar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color w:val="000000"/>
                <w:sz w:val="22"/>
                <w:szCs w:val="22"/>
              </w:rPr>
            </w:pPr>
            <w:r>
              <w:rPr>
                <w:color w:val="000000"/>
                <w:kern w:val="0"/>
                <w:sz w:val="22"/>
                <w:szCs w:val="22"/>
              </w:rPr>
              <w:t>响应程度评分标准</w:t>
            </w:r>
          </w:p>
        </w:tc>
        <w:tc>
          <w:tcPr>
            <w:tcW w:w="229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color w:val="000000"/>
                <w:sz w:val="22"/>
                <w:szCs w:val="22"/>
              </w:rPr>
            </w:pPr>
            <w:r>
              <w:rPr>
                <w:color w:val="000000"/>
                <w:sz w:val="22"/>
                <w:szCs w:val="22"/>
              </w:rPr>
              <w:t>技术尽职调查服务内容</w:t>
            </w:r>
          </w:p>
        </w:tc>
        <w:tc>
          <w:tcPr>
            <w:tcW w:w="111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color w:val="000000"/>
                <w:sz w:val="22"/>
                <w:szCs w:val="22"/>
              </w:rPr>
            </w:pPr>
            <w:r>
              <w:rPr>
                <w:color w:val="000000"/>
                <w:kern w:val="0"/>
                <w:sz w:val="22"/>
                <w:szCs w:val="22"/>
              </w:rPr>
              <w:t>15分</w:t>
            </w:r>
          </w:p>
        </w:tc>
        <w:tc>
          <w:tcPr>
            <w:tcW w:w="308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color w:val="000000"/>
                <w:sz w:val="22"/>
                <w:szCs w:val="22"/>
              </w:rPr>
            </w:pPr>
            <w:r>
              <w:rPr>
                <w:color w:val="000000"/>
                <w:kern w:val="0"/>
                <w:sz w:val="22"/>
                <w:szCs w:val="22"/>
              </w:rPr>
              <w:t>附件中服务内容的检测项目每少一项,扣5分；检测内容若有偏差，每项扣2分。</w:t>
            </w:r>
          </w:p>
        </w:tc>
      </w:tr>
      <w:tr>
        <w:tblPrEx>
          <w:tblCellMar>
            <w:top w:w="0" w:type="dxa"/>
            <w:left w:w="0" w:type="dxa"/>
            <w:bottom w:w="0" w:type="dxa"/>
            <w:right w:w="0" w:type="dxa"/>
          </w:tblCellMar>
        </w:tblPrEx>
        <w:trPr>
          <w:trHeight w:val="750" w:hRule="atLeast"/>
        </w:trPr>
        <w:tc>
          <w:tcPr>
            <w:tcW w:w="630"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color w:val="000000"/>
                <w:sz w:val="24"/>
              </w:rPr>
            </w:pPr>
          </w:p>
        </w:tc>
        <w:tc>
          <w:tcPr>
            <w:tcW w:w="1224"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color w:val="000000"/>
                <w:sz w:val="22"/>
                <w:szCs w:val="22"/>
              </w:rPr>
            </w:pPr>
          </w:p>
        </w:tc>
        <w:tc>
          <w:tcPr>
            <w:tcW w:w="229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color w:val="000000"/>
                <w:sz w:val="22"/>
                <w:szCs w:val="22"/>
              </w:rPr>
            </w:pPr>
            <w:r>
              <w:rPr>
                <w:color w:val="000000"/>
                <w:kern w:val="0"/>
                <w:sz w:val="22"/>
                <w:szCs w:val="22"/>
              </w:rPr>
              <w:t>其他</w:t>
            </w:r>
          </w:p>
        </w:tc>
        <w:tc>
          <w:tcPr>
            <w:tcW w:w="111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color w:val="000000"/>
                <w:sz w:val="22"/>
                <w:szCs w:val="22"/>
              </w:rPr>
            </w:pPr>
            <w:r>
              <w:rPr>
                <w:color w:val="000000"/>
                <w:kern w:val="0"/>
                <w:sz w:val="22"/>
                <w:szCs w:val="22"/>
              </w:rPr>
              <w:t>5分</w:t>
            </w:r>
          </w:p>
        </w:tc>
        <w:tc>
          <w:tcPr>
            <w:tcW w:w="308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color w:val="000000"/>
                <w:sz w:val="22"/>
                <w:szCs w:val="22"/>
              </w:rPr>
            </w:pPr>
            <w:r>
              <w:rPr>
                <w:color w:val="000000"/>
                <w:kern w:val="0"/>
                <w:sz w:val="22"/>
                <w:szCs w:val="22"/>
              </w:rPr>
              <w:t>依据附件检测内容表，如有额外附加检测及尽调项目（免费），每一项加1分。</w:t>
            </w:r>
          </w:p>
        </w:tc>
      </w:tr>
      <w:tr>
        <w:tblPrEx>
          <w:tblCellMar>
            <w:top w:w="0" w:type="dxa"/>
            <w:left w:w="0" w:type="dxa"/>
            <w:bottom w:w="0" w:type="dxa"/>
            <w:right w:w="0" w:type="dxa"/>
          </w:tblCellMar>
        </w:tblPrEx>
        <w:trPr>
          <w:trHeight w:val="3090" w:hRule="atLeast"/>
        </w:trPr>
        <w:tc>
          <w:tcPr>
            <w:tcW w:w="630" w:type="dxa"/>
            <w:vMerge w:val="restar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color w:val="000000"/>
                <w:sz w:val="24"/>
              </w:rPr>
            </w:pPr>
            <w:r>
              <w:rPr>
                <w:color w:val="000000"/>
                <w:kern w:val="0"/>
                <w:sz w:val="24"/>
              </w:rPr>
              <w:t>2.3.4</w:t>
            </w:r>
          </w:p>
        </w:tc>
        <w:tc>
          <w:tcPr>
            <w:tcW w:w="1224" w:type="dxa"/>
            <w:vMerge w:val="restar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color w:val="000000"/>
                <w:sz w:val="22"/>
                <w:szCs w:val="22"/>
              </w:rPr>
            </w:pPr>
            <w:r>
              <w:rPr>
                <w:color w:val="000000"/>
                <w:kern w:val="0"/>
                <w:sz w:val="22"/>
                <w:szCs w:val="22"/>
              </w:rPr>
              <w:t>响应报价评分标准</w:t>
            </w:r>
          </w:p>
        </w:tc>
        <w:tc>
          <w:tcPr>
            <w:tcW w:w="2292" w:type="dxa"/>
            <w:vMerge w:val="restar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color w:val="000000"/>
                <w:sz w:val="22"/>
                <w:szCs w:val="22"/>
              </w:rPr>
            </w:pPr>
            <w:r>
              <w:rPr>
                <w:color w:val="000000"/>
                <w:kern w:val="0"/>
                <w:sz w:val="22"/>
                <w:szCs w:val="22"/>
              </w:rPr>
              <w:t>响应报价</w:t>
            </w:r>
          </w:p>
        </w:tc>
        <w:tc>
          <w:tcPr>
            <w:tcW w:w="1110" w:type="dxa"/>
            <w:vMerge w:val="restar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color w:val="000000"/>
                <w:sz w:val="22"/>
                <w:szCs w:val="22"/>
              </w:rPr>
            </w:pPr>
            <w:r>
              <w:rPr>
                <w:color w:val="000000"/>
                <w:kern w:val="0"/>
                <w:sz w:val="22"/>
                <w:szCs w:val="22"/>
              </w:rPr>
              <w:t>40分</w:t>
            </w:r>
          </w:p>
        </w:tc>
        <w:tc>
          <w:tcPr>
            <w:tcW w:w="3080" w:type="dxa"/>
            <w:vMerge w:val="restar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eastAsia="宋体"/>
                <w:color w:val="000000"/>
                <w:kern w:val="0"/>
                <w:sz w:val="22"/>
                <w:szCs w:val="22"/>
                <w:lang w:eastAsia="zh-CN"/>
              </w:rPr>
            </w:pPr>
            <w:r>
              <w:rPr>
                <w:color w:val="000000"/>
                <w:kern w:val="0"/>
                <w:sz w:val="22"/>
                <w:szCs w:val="22"/>
                <w:bdr w:val="single" w:color="000000" w:sz="4" w:space="0"/>
              </w:rPr>
              <w:drawing>
                <wp:anchor distT="0" distB="0" distL="0" distR="0" simplePos="0" relativeHeight="251660288" behindDoc="0" locked="0" layoutInCell="1" allowOverlap="1">
                  <wp:simplePos x="0" y="0"/>
                  <wp:positionH relativeFrom="column">
                    <wp:posOffset>33020</wp:posOffset>
                  </wp:positionH>
                  <wp:positionV relativeFrom="paragraph">
                    <wp:posOffset>1504315</wp:posOffset>
                  </wp:positionV>
                  <wp:extent cx="1770380" cy="406400"/>
                  <wp:effectExtent l="0" t="0" r="0" b="13335"/>
                  <wp:wrapNone/>
                  <wp:docPr id="1027" name="图片_1"/>
                  <wp:cNvGraphicFramePr/>
                  <a:graphic xmlns:a="http://schemas.openxmlformats.org/drawingml/2006/main">
                    <a:graphicData uri="http://schemas.openxmlformats.org/drawingml/2006/picture">
                      <pic:pic xmlns:pic="http://schemas.openxmlformats.org/drawingml/2006/picture">
                        <pic:nvPicPr>
                          <pic:cNvPr id="1027" name="图片_1"/>
                          <pic:cNvPicPr/>
                        </pic:nvPicPr>
                        <pic:blipFill>
                          <a:blip r:embed="rId6" cstate="print"/>
                          <a:srcRect/>
                          <a:stretch>
                            <a:fillRect/>
                          </a:stretch>
                        </pic:blipFill>
                        <pic:spPr>
                          <a:xfrm>
                            <a:off x="0" y="0"/>
                            <a:ext cx="1770379" cy="406400"/>
                          </a:xfrm>
                          <a:prstGeom prst="rect">
                            <a:avLst/>
                          </a:prstGeom>
                          <a:ln>
                            <a:noFill/>
                          </a:ln>
                        </pic:spPr>
                      </pic:pic>
                    </a:graphicData>
                  </a:graphic>
                </wp:anchor>
              </w:drawing>
            </w:r>
            <w:r>
              <w:rPr>
                <w:color w:val="000000"/>
                <w:kern w:val="0"/>
                <w:sz w:val="22"/>
                <w:szCs w:val="22"/>
              </w:rPr>
              <w:t>当报价等于评标基准价时得满分，每高于评标基准价一个百分点扣1.5分，每低于评标基准价一个百分点扣1分，中间值按比例内插，四舍五入，保留两位小数。</w:t>
            </w:r>
          </w:p>
          <w:p>
            <w:pPr>
              <w:widowControl/>
              <w:jc w:val="left"/>
              <w:textAlignment w:val="center"/>
              <w:rPr>
                <w:rFonts w:hint="eastAsia" w:eastAsia="宋体"/>
                <w:color w:val="000000"/>
                <w:kern w:val="0"/>
                <w:sz w:val="22"/>
                <w:szCs w:val="22"/>
                <w:lang w:eastAsia="zh-CN"/>
              </w:rPr>
            </w:pPr>
            <w:r>
              <w:rPr>
                <w:color w:val="000000"/>
                <w:kern w:val="0"/>
                <w:sz w:val="22"/>
                <w:szCs w:val="22"/>
              </w:rPr>
              <w:t>用公式表示如下：</w:t>
            </w:r>
          </w:p>
          <w:p>
            <w:pPr>
              <w:widowControl/>
              <w:jc w:val="left"/>
              <w:textAlignment w:val="center"/>
              <w:rPr>
                <w:rFonts w:hint="eastAsia" w:eastAsia="宋体"/>
                <w:color w:val="000000"/>
                <w:kern w:val="0"/>
                <w:sz w:val="22"/>
                <w:szCs w:val="22"/>
                <w:lang w:eastAsia="zh-CN"/>
              </w:rPr>
            </w:pPr>
            <w:r>
              <w:rPr>
                <w:color w:val="000000"/>
                <w:kern w:val="0"/>
                <w:sz w:val="22"/>
                <w:szCs w:val="22"/>
              </w:rPr>
              <w:t xml:space="preserve"> </w:t>
            </w:r>
          </w:p>
          <w:p>
            <w:pPr>
              <w:pStyle w:val="2"/>
              <w:rPr>
                <w:rFonts w:hint="eastAsia"/>
                <w:lang w:eastAsia="zh-CN"/>
              </w:rPr>
            </w:pPr>
          </w:p>
          <w:p>
            <w:pPr>
              <w:pStyle w:val="2"/>
              <w:rPr>
                <w:rFonts w:hint="eastAsia"/>
                <w:lang w:eastAsia="zh-CN"/>
              </w:rPr>
            </w:pPr>
          </w:p>
          <w:p>
            <w:pPr>
              <w:widowControl/>
              <w:jc w:val="left"/>
              <w:textAlignment w:val="center"/>
              <w:rPr>
                <w:rFonts w:hint="eastAsia" w:eastAsia="宋体"/>
                <w:color w:val="000000"/>
                <w:kern w:val="0"/>
                <w:sz w:val="22"/>
                <w:szCs w:val="22"/>
                <w:lang w:eastAsia="zh-CN"/>
              </w:rPr>
            </w:pPr>
            <w:r>
              <w:rPr>
                <w:color w:val="000000"/>
                <w:kern w:val="0"/>
                <w:sz w:val="22"/>
                <w:szCs w:val="22"/>
              </w:rPr>
              <w:t>式中：F1——承包商报价得分；</w:t>
            </w:r>
          </w:p>
          <w:p>
            <w:pPr>
              <w:widowControl/>
              <w:jc w:val="left"/>
              <w:textAlignment w:val="center"/>
              <w:rPr>
                <w:rFonts w:hint="eastAsia" w:eastAsia="宋体"/>
                <w:color w:val="000000"/>
                <w:kern w:val="0"/>
                <w:sz w:val="22"/>
                <w:szCs w:val="22"/>
                <w:lang w:eastAsia="zh-CN"/>
              </w:rPr>
            </w:pPr>
            <w:r>
              <w:rPr>
                <w:color w:val="000000"/>
                <w:kern w:val="0"/>
                <w:sz w:val="22"/>
                <w:szCs w:val="22"/>
              </w:rPr>
              <w:t>F——报价得分所占的百分比权重，F= 40；</w:t>
            </w:r>
          </w:p>
          <w:p>
            <w:pPr>
              <w:widowControl/>
              <w:jc w:val="left"/>
              <w:textAlignment w:val="center"/>
              <w:rPr>
                <w:rFonts w:hint="eastAsia" w:eastAsia="宋体"/>
                <w:color w:val="000000"/>
                <w:kern w:val="0"/>
                <w:sz w:val="22"/>
                <w:szCs w:val="22"/>
                <w:lang w:eastAsia="zh-CN"/>
              </w:rPr>
            </w:pPr>
            <w:r>
              <w:rPr>
                <w:color w:val="000000"/>
                <w:kern w:val="0"/>
                <w:sz w:val="22"/>
                <w:szCs w:val="22"/>
              </w:rPr>
              <w:t>D1——响应人的响应报价；</w:t>
            </w:r>
          </w:p>
          <w:p>
            <w:pPr>
              <w:widowControl/>
              <w:jc w:val="left"/>
              <w:textAlignment w:val="center"/>
              <w:rPr>
                <w:rFonts w:hint="eastAsia" w:eastAsia="宋体"/>
                <w:color w:val="000000"/>
                <w:kern w:val="0"/>
                <w:sz w:val="22"/>
                <w:szCs w:val="22"/>
                <w:lang w:eastAsia="zh-CN"/>
              </w:rPr>
            </w:pPr>
            <w:r>
              <w:rPr>
                <w:color w:val="000000"/>
                <w:kern w:val="0"/>
                <w:sz w:val="22"/>
                <w:szCs w:val="22"/>
              </w:rPr>
              <w:t>D——评标基准价。</w:t>
            </w:r>
          </w:p>
          <w:p>
            <w:pPr>
              <w:widowControl/>
              <w:jc w:val="left"/>
              <w:textAlignment w:val="center"/>
              <w:rPr>
                <w:color w:val="000000"/>
                <w:sz w:val="22"/>
                <w:szCs w:val="22"/>
              </w:rPr>
            </w:pPr>
            <w:r>
              <w:rPr>
                <w:color w:val="000000"/>
                <w:kern w:val="0"/>
                <w:sz w:val="22"/>
                <w:szCs w:val="22"/>
              </w:rPr>
              <w:t>若D1≥D，则E=1.5；若D1＜ D，则E=1。报价得分最低为0分。</w:t>
            </w:r>
          </w:p>
        </w:tc>
      </w:tr>
      <w:tr>
        <w:tblPrEx>
          <w:tblCellMar>
            <w:top w:w="0" w:type="dxa"/>
            <w:left w:w="0" w:type="dxa"/>
            <w:bottom w:w="0" w:type="dxa"/>
            <w:right w:w="0" w:type="dxa"/>
          </w:tblCellMar>
        </w:tblPrEx>
        <w:trPr>
          <w:trHeight w:val="375" w:hRule="atLeast"/>
        </w:trPr>
        <w:tc>
          <w:tcPr>
            <w:tcW w:w="630"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color w:val="000000"/>
                <w:sz w:val="24"/>
              </w:rPr>
            </w:pPr>
          </w:p>
        </w:tc>
        <w:tc>
          <w:tcPr>
            <w:tcW w:w="1224"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color w:val="000000"/>
                <w:sz w:val="24"/>
              </w:rPr>
            </w:pPr>
          </w:p>
        </w:tc>
        <w:tc>
          <w:tcPr>
            <w:tcW w:w="2292"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color w:val="000000"/>
                <w:sz w:val="24"/>
              </w:rPr>
            </w:pPr>
          </w:p>
        </w:tc>
        <w:tc>
          <w:tcPr>
            <w:tcW w:w="1110"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color w:val="000000"/>
                <w:sz w:val="24"/>
              </w:rPr>
            </w:pPr>
          </w:p>
        </w:tc>
        <w:tc>
          <w:tcPr>
            <w:tcW w:w="3080"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left"/>
              <w:rPr>
                <w:color w:val="000000"/>
                <w:sz w:val="24"/>
              </w:rPr>
            </w:pPr>
          </w:p>
        </w:tc>
      </w:tr>
    </w:tbl>
    <w:p>
      <w:pPr>
        <w:ind w:firstLine="560" w:firstLineChars="200"/>
        <w:rPr>
          <w:rFonts w:eastAsia="仿宋"/>
          <w:sz w:val="28"/>
          <w:szCs w:val="28"/>
        </w:rPr>
      </w:pPr>
    </w:p>
    <w:p>
      <w:pPr>
        <w:pStyle w:val="2"/>
        <w:ind w:firstLine="640"/>
      </w:pPr>
    </w:p>
    <w:p>
      <w:pPr>
        <w:pStyle w:val="2"/>
        <w:ind w:firstLine="640"/>
      </w:pPr>
    </w:p>
    <w:p>
      <w:pPr>
        <w:ind w:firstLine="643" w:firstLineChars="200"/>
        <w:rPr>
          <w:rFonts w:eastAsia="仿宋"/>
          <w:b/>
          <w:sz w:val="32"/>
          <w:szCs w:val="32"/>
        </w:rPr>
      </w:pPr>
      <w:r>
        <w:rPr>
          <w:rFonts w:eastAsia="仿宋"/>
          <w:b/>
          <w:sz w:val="32"/>
          <w:szCs w:val="32"/>
        </w:rPr>
        <w:t>5 合同授予</w:t>
      </w:r>
    </w:p>
    <w:p>
      <w:pPr>
        <w:ind w:firstLine="602" w:firstLineChars="200"/>
        <w:rPr>
          <w:rFonts w:eastAsia="仿宋"/>
          <w:b/>
          <w:sz w:val="30"/>
          <w:szCs w:val="30"/>
        </w:rPr>
      </w:pPr>
      <w:r>
        <w:rPr>
          <w:rFonts w:eastAsia="仿宋"/>
          <w:b/>
          <w:sz w:val="30"/>
          <w:szCs w:val="30"/>
        </w:rPr>
        <w:t>5.1 成交方式</w:t>
      </w:r>
    </w:p>
    <w:p>
      <w:pPr>
        <w:spacing w:line="560" w:lineRule="exact"/>
        <w:ind w:firstLine="560" w:firstLineChars="200"/>
        <w:rPr>
          <w:rFonts w:eastAsia="仿宋"/>
          <w:sz w:val="28"/>
          <w:szCs w:val="28"/>
        </w:rPr>
      </w:pPr>
      <w:r>
        <w:rPr>
          <w:rFonts w:eastAsia="仿宋"/>
          <w:sz w:val="28"/>
          <w:szCs w:val="28"/>
        </w:rPr>
        <w:t>采购人依据评审结果，确定综合评分第一的响应人为成交候选人。综合评分相等时，以报价低的优先；报价也相等的，以技术尽调服务方案得分高的优先。</w:t>
      </w:r>
    </w:p>
    <w:p>
      <w:pPr>
        <w:spacing w:line="560" w:lineRule="exact"/>
        <w:ind w:firstLine="602" w:firstLineChars="200"/>
        <w:rPr>
          <w:rFonts w:eastAsia="仿宋"/>
          <w:b/>
          <w:sz w:val="30"/>
          <w:szCs w:val="30"/>
        </w:rPr>
      </w:pPr>
      <w:r>
        <w:rPr>
          <w:rFonts w:eastAsia="仿宋"/>
          <w:b/>
          <w:sz w:val="30"/>
          <w:szCs w:val="30"/>
        </w:rPr>
        <w:t>5.2 成交通知</w:t>
      </w:r>
    </w:p>
    <w:p>
      <w:pPr>
        <w:spacing w:line="560" w:lineRule="exact"/>
        <w:ind w:firstLine="560" w:firstLineChars="200"/>
        <w:rPr>
          <w:rFonts w:eastAsia="仿宋"/>
          <w:sz w:val="28"/>
          <w:szCs w:val="28"/>
        </w:rPr>
      </w:pPr>
      <w:r>
        <w:rPr>
          <w:rFonts w:eastAsia="仿宋"/>
          <w:sz w:val="28"/>
          <w:szCs w:val="28"/>
        </w:rPr>
        <w:t>在响应有效期内，采购人以书面形式向成交候选人发出成交通知书。</w:t>
      </w:r>
    </w:p>
    <w:p>
      <w:pPr>
        <w:spacing w:line="560" w:lineRule="exact"/>
        <w:ind w:firstLine="560" w:firstLineChars="200"/>
        <w:rPr>
          <w:rFonts w:eastAsia="仿宋"/>
          <w:sz w:val="28"/>
          <w:szCs w:val="28"/>
        </w:rPr>
      </w:pPr>
      <w:r>
        <w:rPr>
          <w:rFonts w:eastAsia="仿宋"/>
          <w:sz w:val="28"/>
          <w:szCs w:val="28"/>
        </w:rPr>
        <w:t>本次询价属于要约邀请，采购人可以视项目具体情况在发出成交通知书之前随时中止本次询价，并对由此而引起的对响应人的影响不承担责任。</w:t>
      </w:r>
    </w:p>
    <w:p>
      <w:pPr>
        <w:spacing w:line="560" w:lineRule="exact"/>
        <w:ind w:firstLine="602" w:firstLineChars="200"/>
        <w:rPr>
          <w:rFonts w:eastAsia="仿宋"/>
          <w:b/>
          <w:sz w:val="30"/>
          <w:szCs w:val="30"/>
        </w:rPr>
      </w:pPr>
      <w:r>
        <w:rPr>
          <w:rFonts w:eastAsia="仿宋"/>
          <w:b/>
          <w:sz w:val="30"/>
          <w:szCs w:val="30"/>
        </w:rPr>
        <w:t>5.3 合同的签订</w:t>
      </w:r>
    </w:p>
    <w:p>
      <w:pPr>
        <w:spacing w:line="560" w:lineRule="exact"/>
        <w:ind w:firstLine="560" w:firstLineChars="200"/>
        <w:rPr>
          <w:rFonts w:eastAsia="仿宋"/>
          <w:sz w:val="28"/>
          <w:szCs w:val="28"/>
        </w:rPr>
      </w:pPr>
      <w:r>
        <w:rPr>
          <w:rFonts w:eastAsia="仿宋"/>
          <w:sz w:val="28"/>
          <w:szCs w:val="28"/>
        </w:rPr>
        <w:t>5.3.1 成交候选人应按成交通知书规定的时间和地点，由法定代表人或其授权委托人与采购人签订合同。</w:t>
      </w:r>
    </w:p>
    <w:p>
      <w:pPr>
        <w:spacing w:line="560" w:lineRule="exact"/>
        <w:ind w:firstLine="560" w:firstLineChars="200"/>
        <w:rPr>
          <w:rFonts w:eastAsia="仿宋"/>
          <w:sz w:val="28"/>
          <w:szCs w:val="28"/>
        </w:rPr>
      </w:pPr>
      <w:r>
        <w:rPr>
          <w:rFonts w:eastAsia="仿宋"/>
          <w:sz w:val="28"/>
          <w:szCs w:val="28"/>
        </w:rPr>
        <w:t>5.3.2 除不可抗力外，成交候选人无正当理由拒签合同的，采购人取消其成交资格；采购人有权按综合得分排名依序选择其他候选人签订合同或重新组织询</w:t>
      </w:r>
    </w:p>
    <w:p>
      <w:pPr>
        <w:spacing w:line="560" w:lineRule="exact"/>
        <w:rPr>
          <w:rFonts w:eastAsia="仿宋"/>
          <w:sz w:val="28"/>
          <w:szCs w:val="28"/>
        </w:rPr>
      </w:pPr>
      <w:r>
        <w:rPr>
          <w:rFonts w:hint="eastAsia" w:eastAsia="仿宋"/>
          <w:sz w:val="28"/>
          <w:szCs w:val="28"/>
        </w:rPr>
        <w:t>价。</w:t>
      </w:r>
    </w:p>
    <w:p>
      <w:pPr>
        <w:spacing w:line="560" w:lineRule="exact"/>
        <w:ind w:firstLine="560" w:firstLineChars="200"/>
        <w:rPr>
          <w:rFonts w:eastAsia="仿宋"/>
          <w:sz w:val="28"/>
          <w:szCs w:val="28"/>
        </w:rPr>
      </w:pPr>
      <w:r>
        <w:rPr>
          <w:rFonts w:eastAsia="仿宋"/>
          <w:sz w:val="28"/>
          <w:szCs w:val="28"/>
        </w:rPr>
        <w:t>5.3.3若因项目业主方原因并购风电项目中止，本合同所有服务条款等无条件中止。</w:t>
      </w:r>
    </w:p>
    <w:p>
      <w:pPr>
        <w:spacing w:line="560" w:lineRule="exact"/>
        <w:ind w:firstLine="643" w:firstLineChars="200"/>
        <w:rPr>
          <w:rFonts w:eastAsia="仿宋"/>
          <w:b/>
          <w:sz w:val="32"/>
          <w:szCs w:val="32"/>
        </w:rPr>
      </w:pPr>
      <w:r>
        <w:rPr>
          <w:rFonts w:eastAsia="仿宋"/>
          <w:b/>
          <w:sz w:val="32"/>
          <w:szCs w:val="32"/>
        </w:rPr>
        <w:t>6 监督</w:t>
      </w:r>
    </w:p>
    <w:p>
      <w:pPr>
        <w:spacing w:line="560" w:lineRule="exact"/>
        <w:ind w:firstLine="560" w:firstLineChars="200"/>
        <w:rPr>
          <w:rFonts w:eastAsia="仿宋"/>
          <w:sz w:val="28"/>
          <w:szCs w:val="28"/>
        </w:rPr>
      </w:pPr>
      <w:r>
        <w:rPr>
          <w:rFonts w:eastAsia="仿宋"/>
          <w:sz w:val="28"/>
          <w:szCs w:val="28"/>
        </w:rPr>
        <w:t>监督部门：江西省高速资产经营有限责任公司纪检监察室</w:t>
      </w:r>
    </w:p>
    <w:p>
      <w:pPr>
        <w:spacing w:line="560" w:lineRule="exact"/>
        <w:ind w:firstLine="560" w:firstLineChars="200"/>
        <w:rPr>
          <w:rFonts w:eastAsia="仿宋"/>
          <w:sz w:val="28"/>
          <w:szCs w:val="28"/>
        </w:rPr>
      </w:pPr>
      <w:r>
        <w:rPr>
          <w:rFonts w:eastAsia="仿宋"/>
          <w:sz w:val="28"/>
          <w:szCs w:val="28"/>
        </w:rPr>
        <w:t>地    址：江西省南昌市东湖区抚河北路249号江西交通科技大楼</w:t>
      </w:r>
    </w:p>
    <w:p>
      <w:pPr>
        <w:spacing w:line="560" w:lineRule="exact"/>
        <w:ind w:firstLine="560" w:firstLineChars="200"/>
        <w:rPr>
          <w:rFonts w:eastAsia="仿宋"/>
          <w:sz w:val="28"/>
          <w:szCs w:val="28"/>
        </w:rPr>
      </w:pPr>
      <w:r>
        <w:rPr>
          <w:rFonts w:eastAsia="仿宋"/>
          <w:sz w:val="28"/>
          <w:szCs w:val="28"/>
        </w:rPr>
        <w:t>电    话：0791-86692562</w:t>
      </w:r>
    </w:p>
    <w:p>
      <w:pPr>
        <w:spacing w:line="560" w:lineRule="exact"/>
        <w:ind w:firstLine="560" w:firstLineChars="200"/>
        <w:rPr>
          <w:rFonts w:eastAsia="仿宋"/>
          <w:sz w:val="28"/>
          <w:szCs w:val="28"/>
        </w:rPr>
      </w:pPr>
      <w:r>
        <w:rPr>
          <w:rFonts w:eastAsia="仿宋"/>
          <w:sz w:val="28"/>
          <w:szCs w:val="28"/>
        </w:rPr>
        <w:t>邮    编：330009</w:t>
      </w:r>
    </w:p>
    <w:p>
      <w:pPr>
        <w:rPr>
          <w:sz w:val="28"/>
          <w:szCs w:val="28"/>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MS PGothic">
    <w:panose1 w:val="020B0600070205080204"/>
    <w:charset w:val="80"/>
    <w:family w:val="auto"/>
    <w:pitch w:val="default"/>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liNmU0NjRlMDQ2ZjU3NGYyZWJlYTQwOTE5NWE2YWUifQ=="/>
  </w:docVars>
  <w:rsids>
    <w:rsidRoot w:val="2D981558"/>
    <w:rsid w:val="2D9815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keepLines/>
      <w:spacing w:line="600" w:lineRule="exact"/>
      <w:jc w:val="center"/>
      <w:outlineLvl w:val="0"/>
    </w:pPr>
    <w:rPr>
      <w:b/>
      <w:bCs/>
      <w:kern w:val="44"/>
      <w:sz w:val="36"/>
      <w:szCs w:val="36"/>
    </w:rPr>
  </w:style>
  <w:style w:type="paragraph" w:styleId="4">
    <w:name w:val="heading 3"/>
    <w:basedOn w:val="1"/>
    <w:next w:val="1"/>
    <w:qFormat/>
    <w:uiPriority w:val="0"/>
    <w:pPr>
      <w:keepNext/>
      <w:keepLines/>
      <w:spacing w:before="260" w:after="260" w:line="416" w:lineRule="auto"/>
      <w:outlineLvl w:val="2"/>
    </w:pPr>
    <w:rPr>
      <w:rFonts w:ascii="Calibri" w:hAnsi="Calibri"/>
      <w:b/>
      <w:bCs/>
      <w:sz w:val="32"/>
      <w:szCs w:val="32"/>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2">
    <w:name w:val="Normal Indent"/>
    <w:basedOn w:val="1"/>
    <w:qFormat/>
    <w:uiPriority w:val="0"/>
    <w:pPr>
      <w:spacing w:line="560" w:lineRule="exact"/>
      <w:ind w:firstLine="420" w:firstLineChars="200"/>
    </w:pPr>
    <w:rPr>
      <w:rFonts w:eastAsia="仿宋_GB2312"/>
      <w:sz w:val="32"/>
      <w:szCs w:val="22"/>
    </w:rPr>
  </w:style>
  <w:style w:type="character" w:customStyle="1" w:styleId="7">
    <w:name w:val="font21"/>
    <w:basedOn w:val="6"/>
    <w:qFormat/>
    <w:uiPriority w:val="0"/>
    <w:rPr>
      <w:rFonts w:hint="eastAsia" w:ascii="宋体" w:hAnsi="宋体" w:eastAsia="宋体" w:cs="宋体"/>
      <w:color w:val="000000"/>
      <w:sz w:val="28"/>
      <w:szCs w:val="28"/>
      <w:u w:val="non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customXml" Target="ink/ink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ink/ink1.xml><?xml version="1.0" encoding="utf-8"?>
<inkml:ink xmlns:inkml="http://www.w3.org/2003/InkML">
  <inkml:definitions>
    <inkml:context xml:id="ctx0">
      <inkml:inkSource xml:id="inkSrc0">
        <inkml:traceFormat>
          <inkml:channel name="X" type="integer" units="cm"/>
          <inkml:channel name="Y" type="integer" units="cm"/>
          <inkml:channel name="F" type="integer" max="1023" units="cm"/>
        </inkml:traceFormat>
        <inkml:channelProperties>
          <inkml:channelProperty channel="X" name="resolution" value="28.34646" units="1/cm"/>
          <inkml:channelProperty channel="Y" name="resolution" value="28.34646" units="1/cm"/>
          <inkml:channelProperty channel="F" name="resolution" value="2.84167" units="1/cm"/>
        </inkml:channelProperties>
      </inkml:inkSource>
      <inkml:timestamp xml:id="ts0" timeString="2022-07-22T17:18:40"/>
    </inkml:context>
    <inkml:brush xml:id="br0">
      <inkml:brushProperty name="width" value="0.01984" units="cm"/>
      <inkml:brushProperty name="height" value="0.01984" units="cm"/>
      <inkml:brushProperty name="color" value="#000000"/>
      <inkml:brushProperty name="fitToCurve" value="1"/>
    </inkml:brush>
  </inkml:definitions>
  <inkml:trace contextRef="#ctx0" brushRef="#br0">13151 340369 874,'63'6'-186</inkml:trace>
</inkml:ink>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12</Pages>
  <Words>4637</Words>
  <Characters>5302</Characters>
  <Lines>0</Lines>
  <Paragraphs>0</Paragraphs>
  <TotalTime>1</TotalTime>
  <ScaleCrop>false</ScaleCrop>
  <LinksUpToDate>false</LinksUpToDate>
  <CharactersWithSpaces>5500</CharactersWithSpaces>
  <Application>WPS Office_11.1.0.11875_F1E327BC-269C-435d-A152-05C5408002CA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2022-07-29T06:23:00Z</dcterms:created>
  <dc:creator>是吃货啦啦啦</dc:creator>
  <cp:lastModifiedBy>是吃货啦啦啦</cp:lastModifiedBy>
  <dcterms:modified xsi:type="dcterms:W3CDTF">2022-07-29T06:25:12Z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2052-11.1.0.11875</vt:lpwstr>
  </property>
  <property fmtid="{D5CDD505-2E9C-101B-9397-08002B2CF9AE}" pid="3" name="ICV">
    <vt:lpwstr>3B1E8422343B4C17899FBBC70142EE82</vt:lpwstr>
  </property>
</Properties>
</file>