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Times New Roman" w:hAnsi="Times New Roman" w:eastAsia="仿宋"/>
          <w:sz w:val="36"/>
          <w:szCs w:val="36"/>
        </w:rPr>
      </w:pPr>
      <w:r>
        <w:rPr>
          <w:rFonts w:ascii="Times New Roman" w:hAnsi="Times New Roman" w:eastAsia="仿宋"/>
          <w:sz w:val="36"/>
          <w:szCs w:val="36"/>
        </w:rPr>
        <w:t>江西省新余市</w:t>
      </w:r>
      <w:r>
        <w:rPr>
          <w:rFonts w:hint="eastAsia" w:ascii="Times New Roman" w:hAnsi="Times New Roman" w:eastAsia="仿宋"/>
          <w:sz w:val="36"/>
          <w:szCs w:val="36"/>
        </w:rPr>
        <w:t>仙女湖区</w:t>
      </w:r>
      <w:r>
        <w:rPr>
          <w:rFonts w:ascii="Times New Roman" w:hAnsi="Times New Roman" w:eastAsia="仿宋"/>
          <w:sz w:val="36"/>
          <w:szCs w:val="36"/>
        </w:rPr>
        <w:t>23.1MW风电项目</w:t>
      </w:r>
      <w:bookmarkStart w:id="1" w:name="_GoBack"/>
      <w:bookmarkEnd w:id="1"/>
      <w:r>
        <w:rPr>
          <w:rFonts w:ascii="Times New Roman" w:hAnsi="Times New Roman" w:eastAsia="仿宋"/>
          <w:sz w:val="36"/>
          <w:szCs w:val="36"/>
        </w:rPr>
        <w:t>技术尽职调查服务内容</w:t>
      </w:r>
    </w:p>
    <w:tbl>
      <w:tblPr>
        <w:tblStyle w:val="4"/>
        <w:tblpPr w:leftFromText="180" w:rightFromText="180" w:vertAnchor="text" w:tblpY="1"/>
        <w:tblOverlap w:val="never"/>
        <w:tblW w:w="834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579"/>
        <w:gridCol w:w="1134"/>
        <w:gridCol w:w="3442"/>
        <w:gridCol w:w="1261"/>
        <w:gridCol w:w="841"/>
        <w:gridCol w:w="64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bookmarkStart w:id="0" w:name="_Hlk7938596"/>
            <w:r>
              <w:rPr>
                <w:rFonts w:eastAsia="仿宋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检测内容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检测范围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价格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电站文件评估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项目文件和合同审核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备案相关手续文件及批复、用地许可、土地租赁协议、环评、电气设备资料（设备技术协议、型式试验报告）、并网协议、购售电合同、认证证书、检测报告、使用维护手册、设备安装记录、施工过程资料、监理资料、竣工验收资料等，运维制度、运维记录、上网电量统计数据及合同等进行审核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项目设计文件评估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检查项目设计文件（可研报告、接入系统报告、地勘报告、图纸）是否符合相关标准要求，对电站选址、基础设计、电气及接入系统、土建工程、消防工程等设计一致性审核及评价。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施工建设质量及设备质量评估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通过对电站现场，土建、结构及电气的施工建设质量情况进行检查，了解其是否达到设计要求。检查设备一致性、电气设备质量及故障情况，评估设备稳定性及可靠性。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电站质量评估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实际安装功率核查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核准风力发电机组总功率，精确到瓦。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塔筒和叶片安装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检验塔筒和叶片是否满足设计抗风要求；塔筒叶片防腐措施是否满足规范和设计要求。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风机高强度螺栓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高强螺栓10%、UT检测等。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风机基础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检验风机基础的外观及强度（裂纹、沉降、蜂窝麻面等），水泥标号、防腐等级、防腐措施、基础入土深度、冻土深度、持力层等信息是否满足规范和设计要求，混凝土强度检测（回弹）。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风电场界址及机位点坐标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检验风电场界址和机位坐标点一致性是否满足规范和设计要求。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电缆质量及铺设质量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确定电缆选取满足规范和设计要求；确定交、直流电缆铺设方式：穿管、捆扎、埋地等，并测定电缆铺设方式、埋深等是否满足规范和设计要求。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变流器、箱变的类型、安装位置和安装质量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检查变流器、箱变的类型、电气参数、安装位置和安装质量，安装布局是否合理且散热良好。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个，箱变不少于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台。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环境评估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测定环境对风力发电站是否有影响。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标识检查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1、所有风机背后应有性能标签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2、所有设备的直流正负极应能够明显区分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 交流主隔离开关要有明显的标识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4、 双路电源供电的系统，应在两电源点的交汇处粘贴警告标签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5、 应在设备柜门内侧粘贴系统单线图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6、 应在变流器室合适的位置粘贴变流器保护的设定细节的标签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7、 应在合适位置粘贴紧急关机程序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8、 所有的标志和标签都必须以适当的形式持久粘贴在设备上。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台另加升压站。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4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电站设备检测及运行测试评估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风机振动检测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采用振动检测设备，完成传动链振动检测，判断是否满足标准要求。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风机齿轮箱内窥镜检査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采用内窥镜检测设备，完成齿轮箱内部检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测，如断齿、点蚀、碎屑等情况发生。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齿轮箱油液检查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不限于色谱分析、击穿电压等实验室送检。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风机叶片检测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叶片外部检查；叶片内部结构检查。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主变压器油样检测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 xml:space="preserve">不少于 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箱变油样检测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防雷接地检测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升压站、风机防雷接地是否满足有关要求。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塔筒垂直度检测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垂直度、水平度是否满足规范及设计要求。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安全功能检测与评估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安全链级别的停机保护功能现场测试，检查控制和安全链功能是否可以正常动作。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包含：振动安全链、急停按钮功能、机组所有停机方式（如正常停机、快速停机、紧急停机等）试验、单个气动刹车失效、自动运行试验、机组启动、电网故障或脱载、偏航系统激活、扭缆保护激活、转速调节，桨距调节及功率调节试验、手动模式测试（根据现场实际情况进行可检条件下进行适用性功能检测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变流器接地连续性检测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判定条件：接触电阻不高于 100mΩ ，且保证其接地电阻不高于 4Ω。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分系统部件检查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包含不限于风力发电机的的塔筒、电气控制系统、偏航系统、变桨系统、轮毂、主轴、齿轮箱、联轴器、制动器、发电机、液压系统等系统的检查及评估（发电机包括但不限于发电机绝缘、直流电阻，发电机与齿轮箱的同心度等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风机可利用率评估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根据SCADA系统记录的机组发电、故障、维护时间及功率因素，对机组工作状态进行分析。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招投标合同评价（可利用率与功率曲线）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1、从合同角度，评价可利用率条款的完整性、合理性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2、从合同角度，评价功率曲线条款要求的数据来源、考核方式、考核指标以及合理性。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SCADA振动数据分析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根据现场机组的SCADA振动数据，分折是否存在异常。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风资源评估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1、测风仪器评价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2、风资源勘测完成性、规范性及数据质量评价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3、独立计算分析并与被收购方结果比较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  <w:r>
              <w:rPr>
                <w:rFonts w:eastAsia="仿宋"/>
                <w:sz w:val="18"/>
                <w:szCs w:val="18"/>
              </w:rPr>
              <w:t>4、厂址内个机位点环境条件独立计算分析并和厂商结果进行比较。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整场机组适应性评估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核查认证证书中设计等级参数，基于风资源独立计算分析获得现场各机位环境条件，将设计参数与现场机位环境条件参数进行比对，判断前者是否能漫盖后者，评估机组在特定场址环境条件下的安全性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发电量评估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1、系统性评估各项折减系数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2、基于风资源与功率曲线，折减系数，独立计算分析发电量，并与被收购方结果比对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3、分析发电量差异原因，并量化不同影响因素对其的贡献。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电网分析评价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网消纳分析，风电项目限电率分析，评估场站保护配置是否满足地方电网的要求。评估电站动力环境监测系统配置是否满足地方电网要求，评估一次调频系统配置是否满足地方电网要求，评估二次系统安全防护、网络安全监测配置的合理性，评估涉网系统隐患与缺陷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运行管理评价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1、场站运行方式调查。调查场站现行的运维人员组成情况及运维方式，运维成本构成等。包括运维费用使用情况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运维管理制度、运维过程资料、定期巡检记录、维护记录、定期试验记录等调查，包括机组台账记录、备件更换记录、工作票记录、缺陷记录、检修记录、大修记录等检查。重点调查项目的典型问题、共性问题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3、备品备件更换记录和大部件更换记录审核，零部件质量缺陷或设计缺陷分析。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eastAsia="仿宋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总价（含税）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eastAsia="仿宋"/>
              </w:rPr>
            </w:pPr>
          </w:p>
        </w:tc>
      </w:tr>
      <w:bookmarkEnd w:id="0"/>
    </w:tbl>
    <w:p>
      <w:pPr>
        <w:spacing w:line="560" w:lineRule="exact"/>
        <w:ind w:right="900"/>
        <w:rPr>
          <w:rFonts w:eastAsia="仿宋"/>
          <w:sz w:val="30"/>
          <w:szCs w:val="30"/>
        </w:rPr>
      </w:pPr>
    </w:p>
    <w:p>
      <w:pPr>
        <w:spacing w:line="560" w:lineRule="exact"/>
        <w:ind w:right="900"/>
        <w:rPr>
          <w:rFonts w:eastAsia="仿宋"/>
          <w:sz w:val="30"/>
          <w:szCs w:val="30"/>
        </w:rPr>
      </w:pPr>
    </w:p>
    <w:p/>
    <w:p/>
    <w:sectPr>
      <w:pgSz w:w="11906" w:h="16838"/>
      <w:pgMar w:top="1440" w:right="1800" w:bottom="1440" w:left="1800" w:header="850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1C01EA"/>
    <w:rsid w:val="5B1C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560" w:lineRule="exact"/>
      <w:ind w:firstLine="420" w:firstLineChars="200"/>
    </w:pPr>
    <w:rPr>
      <w:rFonts w:eastAsia="仿宋_GB2312"/>
      <w:sz w:val="32"/>
      <w:szCs w:val="22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2022-08-06T13:52:00Z</dcterms:created>
  <dc:creator>小赤佬</dc:creator>
  <cp:lastModifiedBy>小赤佬</cp:lastModifiedBy>
  <dcterms:modified xsi:type="dcterms:W3CDTF">2022-08-06T13:54:10Z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77B686FCEC8F4FC39A8C8039F1D743C0</vt:lpwstr>
  </property>
</Properties>
</file>